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1A" w:rsidRPr="00C633C1" w:rsidRDefault="00632C1A" w:rsidP="00632C1A">
      <w:pPr>
        <w:keepNext/>
        <w:numPr>
          <w:ilvl w:val="0"/>
          <w:numId w:val="1"/>
        </w:numPr>
        <w:spacing w:before="720" w:after="240" w:line="360" w:lineRule="atLeast"/>
        <w:ind w:left="431" w:hanging="431"/>
        <w:jc w:val="both"/>
        <w:outlineLvl w:val="0"/>
        <w:rPr>
          <w:rFonts w:ascii="Arial" w:hAnsi="Arial"/>
          <w:b/>
          <w:sz w:val="26"/>
          <w:lang w:val="el-GR" w:eastAsia="de-DE"/>
        </w:rPr>
      </w:pPr>
      <w:bookmarkStart w:id="0" w:name="_Toc152925492"/>
      <w:bookmarkStart w:id="1" w:name="_GoBack"/>
      <w:r w:rsidRPr="00C633C1">
        <w:rPr>
          <w:rFonts w:ascii="Arial" w:hAnsi="Arial"/>
          <w:b/>
          <w:sz w:val="26"/>
          <w:lang w:val="el-GR" w:eastAsia="de-DE"/>
        </w:rPr>
        <w:t>Παράρτημα Ι - Ερωτήσεις</w:t>
      </w:r>
      <w:bookmarkEnd w:id="0"/>
      <w:r w:rsidRPr="00C633C1">
        <w:rPr>
          <w:rFonts w:ascii="Arial" w:hAnsi="Arial"/>
          <w:b/>
          <w:sz w:val="26"/>
          <w:lang w:val="el-GR" w:eastAsia="de-DE"/>
        </w:rPr>
        <w:t xml:space="preserve"> </w:t>
      </w:r>
    </w:p>
    <w:tbl>
      <w:tblPr>
        <w:tblStyle w:val="1"/>
        <w:tblW w:w="0" w:type="auto"/>
        <w:tblLook w:val="04A0" w:firstRow="1" w:lastRow="0" w:firstColumn="1" w:lastColumn="0" w:noHBand="0" w:noVBand="1"/>
        <w:tblCaption w:val="Πίνακας ερωτήσεων"/>
        <w:tblDescription w:val="Πίνακας 24 γραμμών που περιέχει τις ερωτήσεις της δημόσιας διαβούλευσης. Κάθε γραμμή έχει μόνο ένα κελί. Οι γραμμές εναλλάσσονται ως εξής: Γραμμή - Ερώτηση, αρίθμηση και κείμενο ερώτησης. Γραμμή Απάντηση, αρίθμηση και κενός χώρος για καταχώρηση της απάντησης. Ο πίνακας περιέχει 12 ερωτήσεις."/>
      </w:tblPr>
      <w:tblGrid>
        <w:gridCol w:w="8296"/>
      </w:tblGrid>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1:</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Συμμερίζεστε την άποψη ότι οι αρχές τιμολόγησης θα πρέπει να λαμβάνουν υπόψη την απαίτηση που περιγράφεται ανωτέρω σχετικά με την έλλειψη στρατηγικών πλεονεκτημάτων και προς τα δύο διαπραγματευόμενα μέρη;</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1:</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2:</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Συμφωνείτε ότι οι αρχές τιμολόγησης για την παροχή πρόσβασης σε υπάρχουσα υλική υποδομή πρέπει να είναι συγκεκριμένες για κάθε έργο / αίτημα πρόσβασης και ότι οι ρυθμιζόμενες τιμές πρόσβασης στις αγορές με ΣΙΑ δεν αποτελούν κατάλληλο υποχρεωτικό μέτρο για την επίλυση διαφορών στο πλαίσιο της τιμολόγησης για κάθε έργο; Ωστόσο, ενδέχεται να υπάρχουν περιπτώσεις όπου τέτοιες τιμές είναι εφαρμόσιμες. Σε κάθε περίπτωση, μια τέτοια προσέγγιση θα απαιτούσε ειδική επιχειρηματολογία. - Λάβετε υπόψη ότι οι εμπλεκόμενοι / τα μέρη που διαπραγματεύονται ενδέχεται να ερμηνεύσουν τις τιμές ΣΙΑ ως εύλογα σημεία αναφοράς (</w:t>
            </w:r>
            <w:proofErr w:type="spellStart"/>
            <w:r w:rsidRPr="00C633C1">
              <w:rPr>
                <w:rFonts w:ascii="Arial" w:hAnsi="Arial"/>
                <w:sz w:val="22"/>
                <w:lang w:val="el-GR" w:eastAsia="de-DE"/>
              </w:rPr>
              <w:t>benchmarks</w:t>
            </w:r>
            <w:proofErr w:type="spellEnd"/>
            <w:r w:rsidRPr="00C633C1">
              <w:rPr>
                <w:rFonts w:ascii="Arial" w:hAnsi="Arial"/>
                <w:sz w:val="22"/>
                <w:lang w:val="el-GR" w:eastAsia="de-DE"/>
              </w:rPr>
              <w:t xml:space="preserve">). </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2:</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3:</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α) Συμφωνείτε με την αξιολόγηση του δίκαιου και εύλογου χαρακτήρα όσον αφορά τις οριοθετήσεις που προκύπτουν για ένα εύρος τιμών που μπορεί να χρησιμοποιηθεί για τη διευκόλυνση της διαδικασίας διακανονισμού των τιμών όσον αφορά τις αιτήσεις πρόσβασης; </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β)Συμφωνείτε με την εννοιολογική προσέγγιση για να επιτραπούν οι προσαυξήσεις και οι εκπτώσεις ως σχετικές κατηγορίες που πρέπει να λαμβάνονται υπόψη σε περίπτωση επίλυσης διαφορών;</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γ)Συμφωνείτε να θεωρηθεί η αυτόνομη επένδυση ως ένα λογικό σημείο εκκίνησης της ανάλυσης για τον προσδιορισμό ενός ανώτερου ορίου για το εύρος τιμών; </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δ) Στην περίπτωση όπου ο </w:t>
            </w:r>
            <w:proofErr w:type="spellStart"/>
            <w:r w:rsidRPr="00C633C1">
              <w:rPr>
                <w:rFonts w:ascii="Arial" w:hAnsi="Arial"/>
                <w:sz w:val="22"/>
                <w:lang w:val="el-GR" w:eastAsia="de-DE"/>
              </w:rPr>
              <w:t>πάροχος</w:t>
            </w:r>
            <w:proofErr w:type="spellEnd"/>
            <w:r w:rsidRPr="00C633C1">
              <w:rPr>
                <w:rFonts w:ascii="Arial" w:hAnsi="Arial"/>
                <w:sz w:val="22"/>
                <w:lang w:val="el-GR" w:eastAsia="de-DE"/>
              </w:rPr>
              <w:t xml:space="preserve"> πρόσβασης δεν είναι σε θέση να παρέχει τα απαραίτητα δεδομένα κόστους, το όργανο επίλυσης διαφορών δύναται να χρησιμοποιήσει οποιαδήποτε άλλα διαθέσιμα δεδομένα τα οποία </w:t>
            </w:r>
            <w:r w:rsidRPr="00C633C1">
              <w:rPr>
                <w:rFonts w:ascii="Arial" w:hAnsi="Arial"/>
                <w:sz w:val="22"/>
                <w:lang w:val="el-GR" w:eastAsia="de-DE"/>
              </w:rPr>
              <w:lastRenderedPageBreak/>
              <w:t xml:space="preserve">μπορούν να θεωρηθούν κατάλληλα να καλύψουν την προαναφερόμενη έλλειψη. Συμφωνείτε με την ανωτέρω πρόταση; </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lastRenderedPageBreak/>
              <w:t>Απάντηση 3:</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4:</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α) Συμφωνείτε με την άποψη ότι η ΕΕΤΤ ως φορέας επίλυσης διαφορών,  πρέπει να μπορεί να απορρίπτει τα αιτήματα πρόσβασης με βάση τις επιπτώσεις στο επιχειρηματικό σχέδιο;</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β) Θεωρείτε δίκαιο και εύλογο εάν κάποιο είδος επιμερισμού του κόστους  που σχετίζεται με την υπό εξέταση υλική υποδομή, θα μπορούσε να αποτελέσει επαρκή αντιστάθμιση για τις επιπτώσεις στο επιχειρηματικό σχέδιο; (βλέπε επίσης τις σχετικές αρχές της ενότητας 3.4 όπου διευκρινίζονται οι κανόνες επιμερισμού του κόστους). </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4:</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5:</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α)Συμφωνείτε με τη γενική αρχή να επιτρέπονται διαφοροποιημένοι κανόνες τιμολόγησης ανάλογα με το είδος της αιτούμενης πρόσβασης σε υπάρχουσα υλική υποδομής;</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β)Συμφωνείτε ότι, λόγω της δυσκολίας πρόβλεψης όλων των σχετικών ιδιαιτεροτήτων, θα πρέπει να θεωρηθεί εύλογο να εφαρμοστεί μια αρχή ενιαίας τιμολόγησης ανά είδος πρόσβασης;</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γ)Σε περίπτωση που τάσσεστε υπέρ των αρχών ενιαίας τιμολόγησης, παρακαλείστε να αναλύσετε την επιχειρηματολογία σας.</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5:</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6:</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 xml:space="preserve"> Παρακαλείστε να τεκμηριώσετε τη θέση σας σε περίπτωση που δεν συμφωνείτε με την πρόβλεψη προσαυξήσεων στις διαδικασίες διακανονισμού τιμών.</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6:</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lastRenderedPageBreak/>
              <w:t>Ερώτηση 7:</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 xml:space="preserve">Συμφωνείτε με την προτεινόμενη αρχή που ορίζει τα εφάπαξ τέλη ως το </w:t>
            </w:r>
            <w:proofErr w:type="spellStart"/>
            <w:r w:rsidRPr="00C633C1">
              <w:rPr>
                <w:rFonts w:ascii="Arial" w:hAnsi="Arial"/>
                <w:sz w:val="22"/>
                <w:lang w:val="el-GR" w:eastAsia="de-DE"/>
              </w:rPr>
              <w:t>επαυξητικό</w:t>
            </w:r>
            <w:proofErr w:type="spellEnd"/>
            <w:r w:rsidRPr="00C633C1">
              <w:rPr>
                <w:rFonts w:ascii="Arial" w:hAnsi="Arial"/>
                <w:sz w:val="22"/>
                <w:lang w:val="el-GR" w:eastAsia="de-DE"/>
              </w:rPr>
              <w:t xml:space="preserve"> κόστος για την παροχή πρόσβασης;</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7:</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8:</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α) Συμφωνείτε με την εκτίμηση ότι το κόστος που σχετίζεται με τις υποδομές είναι μη ανακτήσιμο, οπότε η BCRD δεν απαιτεί την ανάκτηση αυτού του κόστους; </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β) Παρ' όλα αυτά, η τιμολόγηση σύμφωνα με το κόστος που σχετίζεται με τις υποδομές θεωρείται από αρκετά όργανα επίλυσης διαφορών ως δίκαιη και εύλογη (βλ. ενότητα 3.3.2), αλλά δεν θα πρέπει να περιλαμβάνει πλήρως αποσβεσμένα περιουσιακά στοιχεία (καθώς αυτό δεν θεωρείται δίκαιο και εύλογο). Συμμερίζεστε την εκτίμηση για καθορισμό μηνιαίων τελών πρόσβασης βάσει του κόστους υλοποίησης της υπάρχουσας υποδομής, παρόλο που η επένδυση είναι μη ανακτήσιμη; Παρακαλώ διευκρινίστε.</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8:</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9:</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Συμφωνείτε ότι το εφάπαξ κόστος για τη μελέτη σκοπιμότητας θα πρέπει να περιλαμβάνει σχετικές με το έργο δαπάνες, εφόσον δεν σχετίζονται με τις βασικές απαιτήσεις πληροφόρησης που είναι υποχρεωτικό να δημοσιεύονται στο ενιαίο σημείο πληροφόρησης; Παρακαλώ διευκρινίστε ποιες δαπάνες θα πρέπει να περιλαμβάνονται.</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9:</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10:</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Συμφωνείτε με την προτεινόμενη προσέγγιση για τον καθορισμό των τιμών για τα είδη υλικής υποδομής; Εάν διαφωνείτε, παρακαλείστε να αναφέρετε λεπτομερώς την προτεινόμενη προσέγγισή σας για την τιμολόγηση τους με σκοπό την πρόσβαση σε υπάρχουσα υλική υποδομή στο πλαίσιο του Νόμου 4463/2017 και της Οδηγίας BCRD.</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lastRenderedPageBreak/>
              <w:t>Απάντηση 10:</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11:</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α) Συμφωνείτε με την προτεινόμενη αρχή ότι η προσαύξηση δύναται να καθορίζεται ανεξάρτητα από τις πληροφορίες που παρέχουν τα διαπραγματευόμενα μέρη;</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β) Παραθέστε οποιαδήποτε πρόταση έχετε σχετικά με υπάρχουσες πηγές/τιμές (</w:t>
            </w:r>
            <w:proofErr w:type="spellStart"/>
            <w:r w:rsidRPr="00C633C1">
              <w:rPr>
                <w:rFonts w:ascii="Arial" w:hAnsi="Arial"/>
                <w:sz w:val="22"/>
                <w:lang w:val="el-GR" w:eastAsia="de-DE"/>
              </w:rPr>
              <w:t>benchmark</w:t>
            </w:r>
            <w:proofErr w:type="spellEnd"/>
            <w:r w:rsidRPr="00C633C1">
              <w:rPr>
                <w:rFonts w:ascii="Arial" w:hAnsi="Arial"/>
                <w:sz w:val="22"/>
                <w:lang w:val="el-GR" w:eastAsia="de-DE"/>
              </w:rPr>
              <w:t>) που θα μπορούσαν να εφαρμοστούν για το σκοπό αυτό.</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γ) Συμφωνείτε με την πρόταση ότι το όργανο επίλυσης διαφορών θα πρέπει να χρησιμοποιεί στοιχεία κόστους των διαπραγματευόμενων μερών κατά τη διάρκεια της διαδικασίας επίλυσης της διαφοράς;</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δ) Στην περίπτωση όπου ο </w:t>
            </w:r>
            <w:proofErr w:type="spellStart"/>
            <w:r w:rsidRPr="00C633C1">
              <w:rPr>
                <w:rFonts w:ascii="Arial" w:hAnsi="Arial"/>
                <w:sz w:val="22"/>
                <w:lang w:val="el-GR" w:eastAsia="de-DE"/>
              </w:rPr>
              <w:t>πάροχος</w:t>
            </w:r>
            <w:proofErr w:type="spellEnd"/>
            <w:r w:rsidRPr="00C633C1">
              <w:rPr>
                <w:rFonts w:ascii="Arial" w:hAnsi="Arial"/>
                <w:sz w:val="22"/>
                <w:lang w:val="el-GR" w:eastAsia="de-DE"/>
              </w:rPr>
              <w:t xml:space="preserve"> της πρόσβασης δεν είναι σε θέση να παρέχει τα απαραίτητα δεδομένα κόστους για το συγκεκριμένο έργο, το όργανο επίλυσης διαφορών δύναται να χρησιμοποιήσει οποιαδήποτε άλλα διαθέσιμα δεδομένα τα οποία θεωρούνται κατάλληλα. Συμφωνείτε με αυτήν την πρόταση;</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ε) Συμφωνείτε με την πρόταση της χρήσης από την ΕΕΤΤ, ως φορέας επίλυσης διαφορών, στοιχείων κόστους υποδομής από τον </w:t>
            </w:r>
            <w:proofErr w:type="spellStart"/>
            <w:r w:rsidRPr="00C633C1">
              <w:rPr>
                <w:rFonts w:ascii="Arial" w:hAnsi="Arial"/>
                <w:sz w:val="22"/>
                <w:lang w:val="el-GR" w:eastAsia="de-DE"/>
              </w:rPr>
              <w:t>πάροχο</w:t>
            </w:r>
            <w:proofErr w:type="spellEnd"/>
            <w:r w:rsidRPr="00C633C1">
              <w:rPr>
                <w:rFonts w:ascii="Arial" w:hAnsi="Arial"/>
                <w:sz w:val="22"/>
                <w:lang w:val="el-GR" w:eastAsia="de-DE"/>
              </w:rPr>
              <w:t xml:space="preserve"> ECN για τον υπολογισμό της σχετικής προσαύξησης που σχετίζεται με τον </w:t>
            </w:r>
            <w:proofErr w:type="spellStart"/>
            <w:r w:rsidRPr="00C633C1">
              <w:rPr>
                <w:rFonts w:ascii="Arial" w:hAnsi="Arial"/>
                <w:sz w:val="22"/>
                <w:lang w:val="el-GR" w:eastAsia="de-DE"/>
              </w:rPr>
              <w:t>πάροχο</w:t>
            </w:r>
            <w:proofErr w:type="spellEnd"/>
            <w:r w:rsidRPr="00C633C1">
              <w:rPr>
                <w:rFonts w:ascii="Arial" w:hAnsi="Arial"/>
                <w:sz w:val="22"/>
                <w:lang w:val="el-GR" w:eastAsia="de-DE"/>
              </w:rPr>
              <w:t xml:space="preserve"> μη ECN; </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11:</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Ερώτηση 12:</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α) Η υπόθεση ότι το κόστος που σχετίζεται με τις υποδομές είναι μη ανακτήσιμο, δημιουργεί περιθώριο για διαφοροποιημένη τιμολόγηση. Συμφωνείτε με την αναλογική κοστολόγηση των υποδομών ως μέσο για τη δημιουργία κινήτρων για την από κοινού χρήση και ως μέσο ανάκτησης κόστους; </w:t>
            </w:r>
          </w:p>
          <w:p w:rsidR="00632C1A" w:rsidRPr="00C633C1" w:rsidRDefault="00632C1A" w:rsidP="004B42AD">
            <w:pPr>
              <w:tabs>
                <w:tab w:val="left" w:pos="357"/>
              </w:tabs>
              <w:spacing w:after="240" w:line="312" w:lineRule="atLeast"/>
              <w:ind w:left="720"/>
              <w:contextualSpacing/>
              <w:jc w:val="both"/>
              <w:rPr>
                <w:rFonts w:ascii="Arial" w:hAnsi="Arial"/>
                <w:sz w:val="22"/>
                <w:lang w:val="el-GR" w:eastAsia="de-DE"/>
              </w:rPr>
            </w:pPr>
            <w:r w:rsidRPr="00C633C1">
              <w:rPr>
                <w:rFonts w:ascii="Arial" w:hAnsi="Arial"/>
                <w:sz w:val="22"/>
                <w:lang w:val="el-GR" w:eastAsia="de-DE"/>
              </w:rPr>
              <w:t xml:space="preserve">β) Θεωρείτε σκόπιμο να εφαρμοστεί επιμερισμός του κόστους ανάλογα με τον αριθμό των </w:t>
            </w:r>
            <w:proofErr w:type="spellStart"/>
            <w:r w:rsidRPr="00C633C1">
              <w:rPr>
                <w:rFonts w:ascii="Arial" w:hAnsi="Arial"/>
                <w:sz w:val="22"/>
                <w:lang w:val="el-GR" w:eastAsia="de-DE"/>
              </w:rPr>
              <w:t>παρόχων</w:t>
            </w:r>
            <w:proofErr w:type="spellEnd"/>
            <w:r w:rsidRPr="00C633C1">
              <w:rPr>
                <w:rFonts w:ascii="Arial" w:hAnsi="Arial"/>
                <w:sz w:val="22"/>
                <w:lang w:val="el-GR" w:eastAsia="de-DE"/>
              </w:rPr>
              <w:t xml:space="preserve"> που χρησιμοποιούν την υποδομή ή αναλογικό επιμερισμό του κόστους ανάλογα με τη χρησιμοποιούμενη χωρητικότητα ή των εγκατεστημένων καλωδίων; Αιτιολογείστε την απάντησή σας.</w:t>
            </w:r>
          </w:p>
        </w:tc>
      </w:tr>
      <w:tr w:rsidR="00632C1A" w:rsidRPr="00C633C1" w:rsidTr="004B42AD">
        <w:tc>
          <w:tcPr>
            <w:tcW w:w="8296" w:type="dxa"/>
          </w:tcPr>
          <w:p w:rsidR="00632C1A" w:rsidRPr="00C633C1" w:rsidRDefault="00632C1A" w:rsidP="004B42AD">
            <w:pPr>
              <w:tabs>
                <w:tab w:val="left" w:pos="357"/>
              </w:tabs>
              <w:spacing w:after="240" w:line="312" w:lineRule="atLeast"/>
              <w:ind w:left="432"/>
              <w:jc w:val="both"/>
              <w:rPr>
                <w:rFonts w:ascii="Arial" w:hAnsi="Arial"/>
                <w:sz w:val="22"/>
                <w:lang w:val="el-GR" w:eastAsia="de-DE"/>
              </w:rPr>
            </w:pPr>
            <w:r w:rsidRPr="00C633C1">
              <w:rPr>
                <w:rFonts w:ascii="Arial" w:hAnsi="Arial"/>
                <w:sz w:val="22"/>
                <w:lang w:val="el-GR" w:eastAsia="de-DE"/>
              </w:rPr>
              <w:t>Απάντηση 12:</w:t>
            </w:r>
          </w:p>
          <w:p w:rsidR="00632C1A" w:rsidRPr="00C633C1" w:rsidRDefault="00632C1A" w:rsidP="004B42AD">
            <w:pPr>
              <w:tabs>
                <w:tab w:val="left" w:pos="357"/>
              </w:tabs>
              <w:spacing w:after="240" w:line="312" w:lineRule="atLeast"/>
              <w:ind w:left="432"/>
              <w:jc w:val="both"/>
              <w:rPr>
                <w:rFonts w:ascii="Arial" w:hAnsi="Arial"/>
                <w:sz w:val="22"/>
                <w:lang w:val="el-GR" w:eastAsia="de-DE"/>
              </w:rPr>
            </w:pPr>
          </w:p>
        </w:tc>
      </w:tr>
      <w:bookmarkEnd w:id="1"/>
    </w:tbl>
    <w:p w:rsidR="00410450" w:rsidRDefault="00410450"/>
    <w:sectPr w:rsidR="004104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24FB1"/>
    <w:multiLevelType w:val="multilevel"/>
    <w:tmpl w:val="D88636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1A"/>
    <w:rsid w:val="00410450"/>
    <w:rsid w:val="00632C1A"/>
    <w:rsid w:val="00C633C1"/>
    <w:rsid w:val="00CF6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73B6B-71B1-4533-B4CC-461A539B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1A"/>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59"/>
    <w:rsid w:val="00632C1A"/>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32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5095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Sarantopoulou</dc:creator>
  <cp:keywords/>
  <dc:description/>
  <cp:lastModifiedBy>user1</cp:lastModifiedBy>
  <cp:revision>3</cp:revision>
  <dcterms:created xsi:type="dcterms:W3CDTF">2023-12-11T12:29:00Z</dcterms:created>
  <dcterms:modified xsi:type="dcterms:W3CDTF">2023-12-12T09:01:00Z</dcterms:modified>
</cp:coreProperties>
</file>