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rsidR="00065641" w:rsidRPr="0050170E"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065641" w:rsidRDefault="00065641" w:rsidP="00065641">
      <w:pPr>
        <w:spacing w:after="120" w:line="264" w:lineRule="auto"/>
        <w:jc w:val="both"/>
        <w:rPr>
          <w:sz w:val="24"/>
          <w:szCs w:val="24"/>
        </w:rPr>
      </w:pPr>
    </w:p>
    <w:p w:rsidR="00A70AB0" w:rsidRDefault="00065641"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 xml:space="preserve">ΕΡΩΤΗΜΑΤΟΛΟΓΙΟ </w:t>
      </w:r>
      <w:r>
        <w:rPr>
          <w:rFonts w:asciiTheme="majorHAnsi" w:hAnsiTheme="majorHAnsi"/>
          <w:b/>
          <w:color w:val="244061" w:themeColor="accent1" w:themeShade="80"/>
          <w:sz w:val="40"/>
          <w:szCs w:val="24"/>
        </w:rPr>
        <w:br/>
        <w:t>ΟΙΚΟΝΟΜΙΚ</w:t>
      </w:r>
      <w:r w:rsidR="003B1609">
        <w:rPr>
          <w:rFonts w:asciiTheme="majorHAnsi" w:hAnsiTheme="majorHAnsi"/>
          <w:b/>
          <w:color w:val="244061" w:themeColor="accent1" w:themeShade="80"/>
          <w:sz w:val="40"/>
          <w:szCs w:val="24"/>
        </w:rPr>
        <w:t>Α ΣΤΟΙΧΕΙΑ</w:t>
      </w:r>
      <w:r w:rsidR="003634DD">
        <w:rPr>
          <w:rFonts w:asciiTheme="majorHAnsi" w:hAnsiTheme="majorHAnsi"/>
          <w:b/>
          <w:color w:val="244061" w:themeColor="accent1" w:themeShade="80"/>
          <w:sz w:val="40"/>
          <w:szCs w:val="24"/>
        </w:rPr>
        <w:t>(01</w:t>
      </w:r>
      <w:r w:rsidR="003B1609">
        <w:rPr>
          <w:rFonts w:asciiTheme="majorHAnsi" w:hAnsiTheme="majorHAnsi"/>
          <w:b/>
          <w:color w:val="244061" w:themeColor="accent1" w:themeShade="80"/>
          <w:sz w:val="40"/>
          <w:szCs w:val="24"/>
        </w:rPr>
        <w:t>α</w:t>
      </w:r>
      <w:r w:rsidR="003634DD">
        <w:rPr>
          <w:rFonts w:asciiTheme="majorHAnsi" w:hAnsiTheme="majorHAnsi"/>
          <w:b/>
          <w:color w:val="244061" w:themeColor="accent1" w:themeShade="80"/>
          <w:sz w:val="40"/>
          <w:szCs w:val="24"/>
        </w:rPr>
        <w:t>)</w:t>
      </w:r>
    </w:p>
    <w:p w:rsidR="003634DD" w:rsidRPr="003634DD" w:rsidRDefault="003634DD"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sidRPr="003634DD">
        <w:rPr>
          <w:rFonts w:asciiTheme="majorHAnsi" w:hAnsiTheme="majorHAnsi"/>
          <w:b/>
          <w:color w:val="244061" w:themeColor="accent1" w:themeShade="80"/>
          <w:sz w:val="44"/>
          <w:szCs w:val="24"/>
        </w:rPr>
        <w:t>Ορισμοί και οδηγίες συμπλήρωσης</w:t>
      </w:r>
    </w:p>
    <w:p w:rsidR="009B274B" w:rsidRDefault="009B274B" w:rsidP="0050170E">
      <w:pPr>
        <w:spacing w:after="120" w:line="264" w:lineRule="auto"/>
        <w:jc w:val="both"/>
        <w:rPr>
          <w:sz w:val="24"/>
          <w:szCs w:val="24"/>
        </w:rPr>
      </w:pPr>
    </w:p>
    <w:p w:rsidR="009B274B" w:rsidRDefault="009B274B" w:rsidP="0050170E">
      <w:pPr>
        <w:spacing w:after="120" w:line="264" w:lineRule="auto"/>
        <w:jc w:val="both"/>
        <w:rPr>
          <w:sz w:val="24"/>
          <w:szCs w:val="24"/>
        </w:rPr>
      </w:pPr>
    </w:p>
    <w:p w:rsidR="00451189" w:rsidRDefault="00451189" w:rsidP="0050170E">
      <w:pPr>
        <w:spacing w:after="120" w:line="264" w:lineRule="auto"/>
        <w:jc w:val="both"/>
        <w:rPr>
          <w:sz w:val="24"/>
          <w:szCs w:val="24"/>
        </w:rPr>
      </w:pPr>
    </w:p>
    <w:p w:rsidR="009B274B" w:rsidRDefault="009B274B"/>
    <w:p w:rsidR="009B274B" w:rsidRDefault="009B274B"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F87B78" w:rsidRPr="00D03B14" w:rsidRDefault="00F87B78"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065641" w:rsidRPr="00D03B14" w:rsidRDefault="00065641" w:rsidP="009B274B">
      <w:pPr>
        <w:spacing w:after="120" w:line="264" w:lineRule="auto"/>
        <w:jc w:val="both"/>
        <w:rPr>
          <w:sz w:val="24"/>
          <w:szCs w:val="24"/>
        </w:rPr>
      </w:pPr>
    </w:p>
    <w:p w:rsidR="009B274B" w:rsidRDefault="009B274B" w:rsidP="009B274B">
      <w:pPr>
        <w:spacing w:after="120" w:line="264" w:lineRule="auto"/>
        <w:jc w:val="both"/>
        <w:rPr>
          <w:sz w:val="24"/>
          <w:szCs w:val="24"/>
        </w:rPr>
      </w:pPr>
    </w:p>
    <w:p w:rsidR="00D03B14" w:rsidRDefault="00D03B14" w:rsidP="009B274B">
      <w:pPr>
        <w:spacing w:after="120" w:line="264" w:lineRule="auto"/>
        <w:jc w:val="both"/>
        <w:rPr>
          <w:sz w:val="24"/>
          <w:szCs w:val="24"/>
        </w:rPr>
      </w:pPr>
    </w:p>
    <w:p w:rsidR="009B274B" w:rsidRPr="009B274B" w:rsidRDefault="00C41B36" w:rsidP="009B274B">
      <w:pPr>
        <w:spacing w:after="120" w:line="264" w:lineRule="auto"/>
        <w:jc w:val="center"/>
        <w:rPr>
          <w:rFonts w:asciiTheme="majorHAnsi" w:hAnsiTheme="majorHAnsi"/>
          <w:color w:val="244061" w:themeColor="accent1" w:themeShade="80"/>
          <w:sz w:val="28"/>
          <w:szCs w:val="24"/>
        </w:rPr>
      </w:pPr>
      <w:r w:rsidRPr="00373D79">
        <w:rPr>
          <w:rFonts w:asciiTheme="majorHAnsi" w:hAnsiTheme="majorHAnsi"/>
          <w:color w:val="244061" w:themeColor="accent1" w:themeShade="80"/>
          <w:sz w:val="28"/>
          <w:szCs w:val="24"/>
        </w:rPr>
        <w:t>Σεπτέμβριος 2017</w:t>
      </w:r>
    </w:p>
    <w:p w:rsidR="00065641" w:rsidRDefault="00065641" w:rsidP="00065641">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Content>
        <w:p w:rsidR="00065641" w:rsidRPr="003B1609" w:rsidRDefault="00065641" w:rsidP="00065641">
          <w:pPr>
            <w:pStyle w:val="ad"/>
            <w:rPr>
              <w:lang w:val="el-GR"/>
            </w:rPr>
          </w:pPr>
          <w:r w:rsidRPr="003B1609">
            <w:rPr>
              <w:lang w:val="el-GR"/>
            </w:rPr>
            <w:t>Περιεχόμενα</w:t>
          </w:r>
        </w:p>
        <w:p w:rsidR="00F27A03" w:rsidRDefault="00F3200D">
          <w:pPr>
            <w:pStyle w:val="10"/>
            <w:rPr>
              <w:rFonts w:eastAsiaTheme="minorEastAsia"/>
              <w:lang w:eastAsia="el-GR"/>
            </w:rPr>
          </w:pPr>
          <w:r>
            <w:fldChar w:fldCharType="begin"/>
          </w:r>
          <w:r w:rsidR="00065641">
            <w:instrText xml:space="preserve"> TOC \o "1-3" \h \z \u </w:instrText>
          </w:r>
          <w:r>
            <w:fldChar w:fldCharType="separate"/>
          </w:r>
          <w:hyperlink w:anchor="_Toc446331426" w:history="1">
            <w:r w:rsidR="00F27A03" w:rsidRPr="007275A6">
              <w:rPr>
                <w:rStyle w:val="-"/>
              </w:rPr>
              <w:t>Εισαγωγή</w:t>
            </w:r>
            <w:r w:rsidR="00F27A03">
              <w:rPr>
                <w:webHidden/>
              </w:rPr>
              <w:tab/>
            </w:r>
            <w:r>
              <w:rPr>
                <w:webHidden/>
              </w:rPr>
              <w:fldChar w:fldCharType="begin"/>
            </w:r>
            <w:r w:rsidR="00F27A03">
              <w:rPr>
                <w:webHidden/>
              </w:rPr>
              <w:instrText xml:space="preserve"> PAGEREF _Toc446331426 \h </w:instrText>
            </w:r>
            <w:r>
              <w:rPr>
                <w:webHidden/>
              </w:rPr>
            </w:r>
            <w:r>
              <w:rPr>
                <w:webHidden/>
              </w:rPr>
              <w:fldChar w:fldCharType="separate"/>
            </w:r>
            <w:r w:rsidR="00F27A03">
              <w:rPr>
                <w:webHidden/>
              </w:rPr>
              <w:t>3</w:t>
            </w:r>
            <w:r>
              <w:rPr>
                <w:webHidden/>
              </w:rPr>
              <w:fldChar w:fldCharType="end"/>
            </w:r>
          </w:hyperlink>
        </w:p>
        <w:p w:rsidR="00F27A03" w:rsidRDefault="00F3200D">
          <w:pPr>
            <w:pStyle w:val="10"/>
            <w:rPr>
              <w:rFonts w:eastAsiaTheme="minorEastAsia"/>
              <w:lang w:eastAsia="el-GR"/>
            </w:rPr>
          </w:pPr>
          <w:hyperlink w:anchor="_Toc446331427" w:history="1">
            <w:r w:rsidR="00F27A03" w:rsidRPr="007275A6">
              <w:rPr>
                <w:rStyle w:val="-"/>
              </w:rPr>
              <w:t>Υπόχρεοι προς συμπλήρωση:</w:t>
            </w:r>
            <w:r w:rsidR="00F27A03">
              <w:rPr>
                <w:webHidden/>
              </w:rPr>
              <w:tab/>
            </w:r>
            <w:r>
              <w:rPr>
                <w:webHidden/>
              </w:rPr>
              <w:fldChar w:fldCharType="begin"/>
            </w:r>
            <w:r w:rsidR="00F27A03">
              <w:rPr>
                <w:webHidden/>
              </w:rPr>
              <w:instrText xml:space="preserve"> PAGEREF _Toc446331427 \h </w:instrText>
            </w:r>
            <w:r>
              <w:rPr>
                <w:webHidden/>
              </w:rPr>
            </w:r>
            <w:r>
              <w:rPr>
                <w:webHidden/>
              </w:rPr>
              <w:fldChar w:fldCharType="separate"/>
            </w:r>
            <w:r w:rsidR="00F27A03">
              <w:rPr>
                <w:webHidden/>
              </w:rPr>
              <w:t>3</w:t>
            </w:r>
            <w:r>
              <w:rPr>
                <w:webHidden/>
              </w:rPr>
              <w:fldChar w:fldCharType="end"/>
            </w:r>
          </w:hyperlink>
        </w:p>
        <w:p w:rsidR="00F27A03" w:rsidRDefault="00F3200D">
          <w:pPr>
            <w:pStyle w:val="10"/>
            <w:rPr>
              <w:rFonts w:eastAsiaTheme="minorEastAsia"/>
              <w:lang w:eastAsia="el-GR"/>
            </w:rPr>
          </w:pPr>
          <w:hyperlink w:anchor="_Toc446331428" w:history="1">
            <w:r w:rsidR="00F27A03" w:rsidRPr="007275A6">
              <w:rPr>
                <w:rStyle w:val="-"/>
              </w:rPr>
              <w:t>Οικονομικές καταστάσεις: Ορισμοί &amp; οδηγίες</w:t>
            </w:r>
            <w:r w:rsidR="00F27A03">
              <w:rPr>
                <w:webHidden/>
              </w:rPr>
              <w:tab/>
            </w:r>
            <w:r>
              <w:rPr>
                <w:webHidden/>
              </w:rPr>
              <w:fldChar w:fldCharType="begin"/>
            </w:r>
            <w:r w:rsidR="00F27A03">
              <w:rPr>
                <w:webHidden/>
              </w:rPr>
              <w:instrText xml:space="preserve"> PAGEREF _Toc446331428 \h </w:instrText>
            </w:r>
            <w:r>
              <w:rPr>
                <w:webHidden/>
              </w:rPr>
            </w:r>
            <w:r>
              <w:rPr>
                <w:webHidden/>
              </w:rPr>
              <w:fldChar w:fldCharType="separate"/>
            </w:r>
            <w:r w:rsidR="00F27A03">
              <w:rPr>
                <w:webHidden/>
              </w:rPr>
              <w:t>3</w:t>
            </w:r>
            <w:r>
              <w:rPr>
                <w:webHidden/>
              </w:rPr>
              <w:fldChar w:fldCharType="end"/>
            </w:r>
          </w:hyperlink>
        </w:p>
        <w:p w:rsidR="00F27A03" w:rsidRDefault="00F3200D">
          <w:pPr>
            <w:pStyle w:val="20"/>
            <w:tabs>
              <w:tab w:val="right" w:leader="dot" w:pos="8948"/>
            </w:tabs>
            <w:rPr>
              <w:rFonts w:eastAsiaTheme="minorEastAsia"/>
              <w:noProof/>
              <w:lang w:eastAsia="el-GR"/>
            </w:rPr>
          </w:pPr>
          <w:hyperlink w:anchor="_Toc446331429" w:history="1">
            <w:r w:rsidR="00F27A03" w:rsidRPr="007275A6">
              <w:rPr>
                <w:rStyle w:val="-"/>
                <w:noProof/>
              </w:rPr>
              <w:t>Α. Στοιχεία Οικονομικών Καταστάσεων</w:t>
            </w:r>
            <w:r w:rsidR="00F27A03">
              <w:rPr>
                <w:noProof/>
                <w:webHidden/>
              </w:rPr>
              <w:tab/>
            </w:r>
            <w:r>
              <w:rPr>
                <w:noProof/>
                <w:webHidden/>
              </w:rPr>
              <w:fldChar w:fldCharType="begin"/>
            </w:r>
            <w:r w:rsidR="00F27A03">
              <w:rPr>
                <w:noProof/>
                <w:webHidden/>
              </w:rPr>
              <w:instrText xml:space="preserve"> PAGEREF _Toc446331429 \h </w:instrText>
            </w:r>
            <w:r>
              <w:rPr>
                <w:noProof/>
                <w:webHidden/>
              </w:rPr>
            </w:r>
            <w:r>
              <w:rPr>
                <w:noProof/>
                <w:webHidden/>
              </w:rPr>
              <w:fldChar w:fldCharType="separate"/>
            </w:r>
            <w:r w:rsidR="00F27A03">
              <w:rPr>
                <w:noProof/>
                <w:webHidden/>
              </w:rPr>
              <w:t>3</w:t>
            </w:r>
            <w:r>
              <w:rPr>
                <w:noProof/>
                <w:webHidden/>
              </w:rPr>
              <w:fldChar w:fldCharType="end"/>
            </w:r>
          </w:hyperlink>
        </w:p>
        <w:p w:rsidR="00F27A03" w:rsidRDefault="00F3200D">
          <w:pPr>
            <w:pStyle w:val="20"/>
            <w:tabs>
              <w:tab w:val="right" w:leader="dot" w:pos="8948"/>
            </w:tabs>
            <w:rPr>
              <w:rFonts w:eastAsiaTheme="minorEastAsia"/>
              <w:noProof/>
              <w:lang w:eastAsia="el-GR"/>
            </w:rPr>
          </w:pPr>
          <w:hyperlink w:anchor="_Toc446331430" w:history="1">
            <w:r w:rsidR="00F27A03" w:rsidRPr="007275A6">
              <w:rPr>
                <w:rStyle w:val="-"/>
                <w:noProof/>
              </w:rPr>
              <w:t>Β. Στοιχεία Εταιρείας</w:t>
            </w:r>
            <w:r w:rsidR="00F27A03">
              <w:rPr>
                <w:noProof/>
                <w:webHidden/>
              </w:rPr>
              <w:tab/>
            </w:r>
            <w:r>
              <w:rPr>
                <w:noProof/>
                <w:webHidden/>
              </w:rPr>
              <w:fldChar w:fldCharType="begin"/>
            </w:r>
            <w:r w:rsidR="00F27A03">
              <w:rPr>
                <w:noProof/>
                <w:webHidden/>
              </w:rPr>
              <w:instrText xml:space="preserve"> PAGEREF _Toc446331430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F3200D">
          <w:pPr>
            <w:pStyle w:val="10"/>
            <w:rPr>
              <w:rFonts w:eastAsiaTheme="minorEastAsia"/>
              <w:lang w:eastAsia="el-GR"/>
            </w:rPr>
          </w:pPr>
          <w:hyperlink w:anchor="_Toc446331431" w:history="1">
            <w:r w:rsidR="00F27A03" w:rsidRPr="007275A6">
              <w:rPr>
                <w:rStyle w:val="-"/>
              </w:rPr>
              <w:t>Οικονομικά στοιχεία: Ορισμοί &amp; οδηγίες</w:t>
            </w:r>
            <w:r w:rsidR="00F27A03">
              <w:rPr>
                <w:webHidden/>
              </w:rPr>
              <w:tab/>
            </w:r>
            <w:r>
              <w:rPr>
                <w:webHidden/>
              </w:rPr>
              <w:fldChar w:fldCharType="begin"/>
            </w:r>
            <w:r w:rsidR="00F27A03">
              <w:rPr>
                <w:webHidden/>
              </w:rPr>
              <w:instrText xml:space="preserve"> PAGEREF _Toc446331431 \h </w:instrText>
            </w:r>
            <w:r>
              <w:rPr>
                <w:webHidden/>
              </w:rPr>
            </w:r>
            <w:r>
              <w:rPr>
                <w:webHidden/>
              </w:rPr>
              <w:fldChar w:fldCharType="separate"/>
            </w:r>
            <w:r w:rsidR="00F27A03">
              <w:rPr>
                <w:webHidden/>
              </w:rPr>
              <w:t>4</w:t>
            </w:r>
            <w:r>
              <w:rPr>
                <w:webHidden/>
              </w:rPr>
              <w:fldChar w:fldCharType="end"/>
            </w:r>
          </w:hyperlink>
        </w:p>
        <w:p w:rsidR="00F27A03" w:rsidRDefault="00F3200D">
          <w:pPr>
            <w:pStyle w:val="20"/>
            <w:tabs>
              <w:tab w:val="right" w:leader="dot" w:pos="8948"/>
            </w:tabs>
            <w:rPr>
              <w:rFonts w:eastAsiaTheme="minorEastAsia"/>
              <w:noProof/>
              <w:lang w:eastAsia="el-GR"/>
            </w:rPr>
          </w:pPr>
          <w:hyperlink w:anchor="_Toc446331432" w:history="1">
            <w:r w:rsidR="00F27A03" w:rsidRPr="007275A6">
              <w:rPr>
                <w:rStyle w:val="-"/>
                <w:noProof/>
              </w:rPr>
              <w:t>Α. Βασικές Οικονομικές Πληροφορίες</w:t>
            </w:r>
            <w:r w:rsidR="00F27A03">
              <w:rPr>
                <w:noProof/>
                <w:webHidden/>
              </w:rPr>
              <w:tab/>
            </w:r>
            <w:r>
              <w:rPr>
                <w:noProof/>
                <w:webHidden/>
              </w:rPr>
              <w:fldChar w:fldCharType="begin"/>
            </w:r>
            <w:r w:rsidR="00F27A03">
              <w:rPr>
                <w:noProof/>
                <w:webHidden/>
              </w:rPr>
              <w:instrText xml:space="preserve"> PAGEREF _Toc446331432 \h </w:instrText>
            </w:r>
            <w:r>
              <w:rPr>
                <w:noProof/>
                <w:webHidden/>
              </w:rPr>
            </w:r>
            <w:r>
              <w:rPr>
                <w:noProof/>
                <w:webHidden/>
              </w:rPr>
              <w:fldChar w:fldCharType="separate"/>
            </w:r>
            <w:r w:rsidR="00F27A03">
              <w:rPr>
                <w:noProof/>
                <w:webHidden/>
              </w:rPr>
              <w:t>4</w:t>
            </w:r>
            <w:r>
              <w:rPr>
                <w:noProof/>
                <w:webHidden/>
              </w:rPr>
              <w:fldChar w:fldCharType="end"/>
            </w:r>
          </w:hyperlink>
        </w:p>
        <w:p w:rsidR="00F27A03" w:rsidRDefault="00F3200D">
          <w:pPr>
            <w:pStyle w:val="20"/>
            <w:tabs>
              <w:tab w:val="right" w:leader="dot" w:pos="8948"/>
            </w:tabs>
            <w:rPr>
              <w:rFonts w:eastAsiaTheme="minorEastAsia"/>
              <w:noProof/>
              <w:lang w:eastAsia="el-GR"/>
            </w:rPr>
          </w:pPr>
          <w:hyperlink w:anchor="_Toc446331433" w:history="1">
            <w:r w:rsidR="00F27A03" w:rsidRPr="007275A6">
              <w:rPr>
                <w:rStyle w:val="-"/>
                <w:noProof/>
              </w:rPr>
              <w:t>Β. Ανάλυση Λιανικών και Χονδρικών Εσόδων</w:t>
            </w:r>
            <w:r w:rsidR="00F27A03">
              <w:rPr>
                <w:noProof/>
                <w:webHidden/>
              </w:rPr>
              <w:tab/>
            </w:r>
            <w:r>
              <w:rPr>
                <w:noProof/>
                <w:webHidden/>
              </w:rPr>
              <w:fldChar w:fldCharType="begin"/>
            </w:r>
            <w:r w:rsidR="00F27A03">
              <w:rPr>
                <w:noProof/>
                <w:webHidden/>
              </w:rPr>
              <w:instrText xml:space="preserve"> PAGEREF _Toc446331433 \h </w:instrText>
            </w:r>
            <w:r>
              <w:rPr>
                <w:noProof/>
                <w:webHidden/>
              </w:rPr>
            </w:r>
            <w:r>
              <w:rPr>
                <w:noProof/>
                <w:webHidden/>
              </w:rPr>
              <w:fldChar w:fldCharType="separate"/>
            </w:r>
            <w:r w:rsidR="00F27A03">
              <w:rPr>
                <w:noProof/>
                <w:webHidden/>
              </w:rPr>
              <w:t>6</w:t>
            </w:r>
            <w:r>
              <w:rPr>
                <w:noProof/>
                <w:webHidden/>
              </w:rPr>
              <w:fldChar w:fldCharType="end"/>
            </w:r>
          </w:hyperlink>
        </w:p>
        <w:p w:rsidR="00065641" w:rsidRDefault="00F3200D" w:rsidP="00065641">
          <w:pPr>
            <w:spacing w:after="120" w:line="264" w:lineRule="auto"/>
            <w:jc w:val="both"/>
            <w:rPr>
              <w:sz w:val="24"/>
              <w:szCs w:val="24"/>
              <w:lang w:val="en-US"/>
            </w:rPr>
          </w:pPr>
          <w:r>
            <w:fldChar w:fldCharType="end"/>
          </w:r>
        </w:p>
      </w:sdtContent>
    </w:sdt>
    <w:p w:rsidR="00065641" w:rsidRPr="00065641" w:rsidRDefault="00065641" w:rsidP="009B274B">
      <w:pPr>
        <w:spacing w:after="120" w:line="264" w:lineRule="auto"/>
        <w:jc w:val="both"/>
        <w:rPr>
          <w:sz w:val="24"/>
          <w:szCs w:val="24"/>
          <w:lang w:val="en-US"/>
        </w:rPr>
      </w:pPr>
    </w:p>
    <w:p w:rsidR="00065641" w:rsidRDefault="00065641">
      <w:pPr>
        <w:rPr>
          <w:rFonts w:asciiTheme="majorHAnsi" w:eastAsiaTheme="majorEastAsia" w:hAnsiTheme="majorHAnsi" w:cstheme="majorBidi"/>
          <w:b/>
          <w:color w:val="244061" w:themeColor="accent1" w:themeShade="80"/>
          <w:sz w:val="32"/>
          <w:szCs w:val="32"/>
        </w:rPr>
      </w:pPr>
      <w:r>
        <w:br w:type="page"/>
      </w:r>
    </w:p>
    <w:p w:rsidR="001C48B9" w:rsidRPr="001C2673" w:rsidRDefault="003634DD" w:rsidP="001C48B9">
      <w:pPr>
        <w:pStyle w:val="1"/>
      </w:pPr>
      <w:bookmarkStart w:id="0" w:name="_Toc446331426"/>
      <w:r>
        <w:lastRenderedPageBreak/>
        <w:t>Εισαγωγή</w:t>
      </w:r>
      <w:bookmarkEnd w:id="0"/>
    </w:p>
    <w:p w:rsidR="003A255E" w:rsidRDefault="003029EE" w:rsidP="00AB1058">
      <w:pPr>
        <w:spacing w:after="120" w:line="264" w:lineRule="auto"/>
        <w:jc w:val="both"/>
        <w:rPr>
          <w:sz w:val="24"/>
          <w:szCs w:val="24"/>
        </w:rPr>
      </w:pPr>
      <w:r>
        <w:rPr>
          <w:sz w:val="24"/>
          <w:szCs w:val="24"/>
        </w:rPr>
        <w:t>Αναφέρεται στο ερωτηματολόγιο</w:t>
      </w:r>
      <w:r w:rsidR="003A255E">
        <w:rPr>
          <w:sz w:val="24"/>
          <w:szCs w:val="24"/>
        </w:rPr>
        <w:t>:</w:t>
      </w:r>
      <w:r>
        <w:rPr>
          <w:sz w:val="24"/>
          <w:szCs w:val="24"/>
        </w:rPr>
        <w:t xml:space="preserve"> </w:t>
      </w:r>
    </w:p>
    <w:p w:rsidR="003029EE" w:rsidRPr="003A255E" w:rsidRDefault="003A255E" w:rsidP="003A255E">
      <w:pPr>
        <w:spacing w:after="120" w:line="264" w:lineRule="auto"/>
        <w:ind w:left="2835"/>
        <w:rPr>
          <w:b/>
          <w:sz w:val="24"/>
          <w:szCs w:val="24"/>
        </w:rPr>
      </w:pPr>
      <w:r>
        <w:rPr>
          <w:b/>
          <w:sz w:val="24"/>
          <w:szCs w:val="24"/>
        </w:rPr>
        <w:t>01</w:t>
      </w:r>
      <w:r w:rsidR="003B1609">
        <w:rPr>
          <w:b/>
          <w:sz w:val="24"/>
          <w:szCs w:val="24"/>
        </w:rPr>
        <w:t>α</w:t>
      </w:r>
      <w:r>
        <w:rPr>
          <w:b/>
          <w:sz w:val="24"/>
          <w:szCs w:val="24"/>
        </w:rPr>
        <w:t xml:space="preserve"> Οικονομικ</w:t>
      </w:r>
      <w:r w:rsidR="003B1609">
        <w:rPr>
          <w:b/>
          <w:sz w:val="24"/>
          <w:szCs w:val="24"/>
        </w:rPr>
        <w:t>ά</w:t>
      </w:r>
      <w:r w:rsidR="00F87B78">
        <w:rPr>
          <w:b/>
          <w:sz w:val="24"/>
          <w:szCs w:val="24"/>
        </w:rPr>
        <w:t xml:space="preserve"> </w:t>
      </w:r>
      <w:r w:rsidR="003B1609">
        <w:rPr>
          <w:b/>
          <w:sz w:val="24"/>
          <w:szCs w:val="24"/>
        </w:rPr>
        <w:t>στοιχεία</w:t>
      </w:r>
    </w:p>
    <w:p w:rsidR="003029EE" w:rsidRPr="00373D79" w:rsidRDefault="003B1609" w:rsidP="003B1609">
      <w:pPr>
        <w:spacing w:after="120" w:line="264" w:lineRule="auto"/>
        <w:jc w:val="both"/>
        <w:rPr>
          <w:sz w:val="24"/>
          <w:szCs w:val="24"/>
        </w:rPr>
      </w:pPr>
      <w:r w:rsidRPr="00373D79">
        <w:rPr>
          <w:sz w:val="24"/>
          <w:szCs w:val="24"/>
        </w:rPr>
        <w:t xml:space="preserve">Περιλαμβάνει την </w:t>
      </w:r>
      <w:r w:rsidR="003029EE" w:rsidRPr="00373D79">
        <w:rPr>
          <w:sz w:val="24"/>
          <w:szCs w:val="24"/>
        </w:rPr>
        <w:t xml:space="preserve">«Οικονομικά στοιχεία» </w:t>
      </w:r>
      <w:r w:rsidRPr="00373D79">
        <w:rPr>
          <w:sz w:val="24"/>
          <w:szCs w:val="24"/>
        </w:rPr>
        <w:t xml:space="preserve">και </w:t>
      </w:r>
      <w:r w:rsidR="003029EE" w:rsidRPr="00373D79">
        <w:rPr>
          <w:sz w:val="24"/>
          <w:szCs w:val="24"/>
        </w:rPr>
        <w:t xml:space="preserve">αντικαθιστά τις ενότητες Α2 και Α3 του εξαμηνιαίου </w:t>
      </w:r>
      <w:proofErr w:type="spellStart"/>
      <w:r w:rsidR="003029EE" w:rsidRPr="00373D79">
        <w:rPr>
          <w:sz w:val="24"/>
          <w:szCs w:val="24"/>
        </w:rPr>
        <w:t>Market</w:t>
      </w:r>
      <w:proofErr w:type="spellEnd"/>
      <w:r w:rsidR="003029EE" w:rsidRPr="00373D79">
        <w:rPr>
          <w:sz w:val="24"/>
          <w:szCs w:val="24"/>
        </w:rPr>
        <w:t xml:space="preserve"> </w:t>
      </w:r>
      <w:proofErr w:type="spellStart"/>
      <w:r w:rsidR="003029EE" w:rsidRPr="00373D79">
        <w:rPr>
          <w:sz w:val="24"/>
          <w:szCs w:val="24"/>
        </w:rPr>
        <w:t>Report</w:t>
      </w:r>
      <w:proofErr w:type="spellEnd"/>
      <w:r w:rsidR="003029EE" w:rsidRPr="00373D79">
        <w:rPr>
          <w:sz w:val="24"/>
          <w:szCs w:val="24"/>
        </w:rPr>
        <w:t>. Τα στοιχεία που συμπληρώνονται εδώ συνοψίζουν την επίδοση της εταιρείας σε οικονομικούς όρους για την περίοδο αναφοράς.</w:t>
      </w:r>
    </w:p>
    <w:p w:rsidR="00F27A03" w:rsidRPr="00F27A03" w:rsidRDefault="00F27A03" w:rsidP="00F27A03">
      <w:pPr>
        <w:spacing w:after="120" w:line="264" w:lineRule="auto"/>
        <w:jc w:val="both"/>
        <w:rPr>
          <w:sz w:val="24"/>
          <w:szCs w:val="24"/>
        </w:rPr>
      </w:pPr>
      <w:r w:rsidRPr="00373D79">
        <w:rPr>
          <w:sz w:val="24"/>
          <w:szCs w:val="24"/>
        </w:rPr>
        <w:t xml:space="preserve">Υποβάλλεται </w:t>
      </w:r>
      <w:r w:rsidR="009F40C9" w:rsidRPr="00373D79">
        <w:rPr>
          <w:sz w:val="24"/>
          <w:szCs w:val="24"/>
        </w:rPr>
        <w:t>δύο φορές</w:t>
      </w:r>
      <w:r w:rsidRPr="00373D79">
        <w:rPr>
          <w:sz w:val="24"/>
          <w:szCs w:val="24"/>
        </w:rPr>
        <w:t xml:space="preserve"> το χρόνο, σύμφωνα με το χρονοδιάγραμμα υποβολής που αναρτάται στο δικτυακό τόπο της ΕΕΤΤ.</w:t>
      </w:r>
    </w:p>
    <w:p w:rsidR="00A70AB0" w:rsidRDefault="00A70AB0" w:rsidP="00AB1058">
      <w:pPr>
        <w:spacing w:after="120" w:line="264" w:lineRule="auto"/>
        <w:jc w:val="both"/>
        <w:rPr>
          <w:sz w:val="24"/>
          <w:szCs w:val="24"/>
        </w:rPr>
      </w:pPr>
    </w:p>
    <w:p w:rsidR="005108EF" w:rsidRDefault="00451189">
      <w:pPr>
        <w:pStyle w:val="1"/>
      </w:pPr>
      <w:bookmarkStart w:id="1" w:name="_Toc446331427"/>
      <w:r>
        <w:t>Υπόχρεοι προς συμπλήρωση:</w:t>
      </w:r>
      <w:bookmarkEnd w:id="1"/>
    </w:p>
    <w:p w:rsidR="00451189" w:rsidRDefault="00451189" w:rsidP="00AB1058">
      <w:pPr>
        <w:spacing w:after="120" w:line="264" w:lineRule="auto"/>
        <w:jc w:val="both"/>
        <w:rPr>
          <w:sz w:val="24"/>
          <w:szCs w:val="24"/>
        </w:rPr>
      </w:pPr>
      <w:r>
        <w:rPr>
          <w:sz w:val="24"/>
          <w:szCs w:val="24"/>
        </w:rPr>
        <w:t xml:space="preserve">Όλοι οι </w:t>
      </w:r>
      <w:proofErr w:type="spellStart"/>
      <w:r>
        <w:rPr>
          <w:sz w:val="24"/>
          <w:szCs w:val="24"/>
        </w:rPr>
        <w:t>πάροχοι</w:t>
      </w:r>
      <w:proofErr w:type="spellEnd"/>
      <w:r>
        <w:rPr>
          <w:sz w:val="24"/>
          <w:szCs w:val="24"/>
        </w:rPr>
        <w:t xml:space="preserve"> </w:t>
      </w:r>
      <w:r w:rsidR="00065641">
        <w:rPr>
          <w:sz w:val="24"/>
          <w:szCs w:val="24"/>
        </w:rPr>
        <w:t>οι οποίοι έχουν</w:t>
      </w:r>
      <w:r>
        <w:rPr>
          <w:sz w:val="24"/>
          <w:szCs w:val="24"/>
        </w:rPr>
        <w:t xml:space="preserve"> </w:t>
      </w:r>
      <w:r w:rsidR="00065641">
        <w:rPr>
          <w:sz w:val="24"/>
          <w:szCs w:val="24"/>
        </w:rPr>
        <w:t xml:space="preserve">συνολικό, ετήσιο κύκλο εργασιών από </w:t>
      </w:r>
      <w:proofErr w:type="spellStart"/>
      <w:r w:rsidR="00065641">
        <w:rPr>
          <w:sz w:val="24"/>
          <w:szCs w:val="24"/>
        </w:rPr>
        <w:t>αδειοδοτημένες</w:t>
      </w:r>
      <w:proofErr w:type="spellEnd"/>
      <w:r w:rsidR="00065641">
        <w:rPr>
          <w:sz w:val="24"/>
          <w:szCs w:val="24"/>
        </w:rPr>
        <w:t xml:space="preserve"> υπηρεσίες που υπερβαίνει τις €150,000</w:t>
      </w:r>
      <w:r>
        <w:rPr>
          <w:sz w:val="24"/>
          <w:szCs w:val="24"/>
        </w:rPr>
        <w:t>.</w:t>
      </w:r>
    </w:p>
    <w:p w:rsidR="00451189" w:rsidRDefault="00451189" w:rsidP="00AB1058">
      <w:pPr>
        <w:spacing w:after="120" w:line="264" w:lineRule="auto"/>
        <w:jc w:val="both"/>
        <w:rPr>
          <w:sz w:val="24"/>
          <w:szCs w:val="24"/>
        </w:rPr>
      </w:pPr>
    </w:p>
    <w:p w:rsidR="00B14617" w:rsidRPr="00AB1058" w:rsidRDefault="003029EE" w:rsidP="003634DD">
      <w:pPr>
        <w:pStyle w:val="1"/>
      </w:pPr>
      <w:bookmarkStart w:id="2" w:name="_GoBack"/>
      <w:bookmarkStart w:id="3" w:name="_Toc424811198"/>
      <w:bookmarkStart w:id="4" w:name="_Toc424811285"/>
      <w:bookmarkStart w:id="5" w:name="_Toc424811342"/>
      <w:bookmarkStart w:id="6" w:name="_Toc446331431"/>
      <w:bookmarkEnd w:id="2"/>
      <w:r>
        <w:t>Οικονομικά στοιχεία</w:t>
      </w:r>
      <w:bookmarkEnd w:id="3"/>
      <w:bookmarkEnd w:id="4"/>
      <w:bookmarkEnd w:id="5"/>
      <w:r w:rsidR="003634DD">
        <w:t>: Ορισμοί &amp; οδηγίες</w:t>
      </w:r>
      <w:bookmarkEnd w:id="6"/>
    </w:p>
    <w:p w:rsidR="00B14617" w:rsidRPr="00AB1058" w:rsidRDefault="00B14617" w:rsidP="003634DD">
      <w:pPr>
        <w:pStyle w:val="2"/>
      </w:pPr>
      <w:bookmarkStart w:id="7" w:name="_Toc424811199"/>
      <w:bookmarkStart w:id="8" w:name="_Toc424811286"/>
      <w:bookmarkStart w:id="9" w:name="_Toc424811343"/>
      <w:bookmarkStart w:id="10" w:name="_Toc446331432"/>
      <w:r w:rsidRPr="00AB1058">
        <w:t>Α. Βασικές Οικονομικές Πληροφορίες</w:t>
      </w:r>
      <w:bookmarkEnd w:id="7"/>
      <w:bookmarkEnd w:id="8"/>
      <w:bookmarkEnd w:id="9"/>
      <w:bookmarkEnd w:id="10"/>
    </w:p>
    <w:p w:rsidR="00AB1058"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w:t>
      </w:r>
    </w:p>
    <w:p w:rsidR="00B14617" w:rsidRPr="00CE3023" w:rsidRDefault="00AB1058" w:rsidP="00AB1058">
      <w:pPr>
        <w:spacing w:after="120" w:line="264" w:lineRule="auto"/>
        <w:ind w:left="360"/>
        <w:jc w:val="both"/>
        <w:rPr>
          <w:sz w:val="24"/>
          <w:szCs w:val="24"/>
        </w:rPr>
      </w:pPr>
      <w:r w:rsidRPr="00CE3023">
        <w:rPr>
          <w:sz w:val="24"/>
          <w:szCs w:val="24"/>
        </w:rPr>
        <w:t xml:space="preserve">Ζητούμε </w:t>
      </w:r>
      <w:r w:rsidR="00B14617" w:rsidRPr="00CE3023">
        <w:rPr>
          <w:sz w:val="24"/>
          <w:szCs w:val="24"/>
        </w:rPr>
        <w:t>το σύνολο των εσόδων της εταιρείας κατά τη διάρκεια της υπό εξέταση χρονικής περιόδου</w:t>
      </w:r>
      <w:r w:rsidR="00E74A2C" w:rsidRPr="00CE3023">
        <w:rPr>
          <w:sz w:val="24"/>
          <w:szCs w:val="24"/>
        </w:rPr>
        <w:t>, σε ευρώ</w:t>
      </w:r>
      <w:r w:rsidR="008F5CF6">
        <w:rPr>
          <w:sz w:val="24"/>
          <w:szCs w:val="24"/>
        </w:rPr>
        <w:t xml:space="preserve"> στις επόμενες κατηγορίες</w:t>
      </w:r>
      <w:r w:rsidR="00B14617" w:rsidRPr="00CE3023">
        <w:rPr>
          <w:sz w:val="24"/>
          <w:szCs w:val="24"/>
        </w:rPr>
        <w:t>.</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παροχή τηλεπικοινωνιακών υπηρεσιών και εκμετάλλευση τηλεπικοινωνιακών υποδομών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εισαγωγή, εμπορία, κατασκευή, εγκατάσταση και συντήρηση τερματικού τηλεπικοινωνιακού εξοπλισμού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 xml:space="preserve">υπηρεσίες τηλεοπτικού περιεχομένου </w:t>
      </w:r>
    </w:p>
    <w:p w:rsidR="00D955E1" w:rsidRPr="002438DE" w:rsidRDefault="00D955E1" w:rsidP="00B87B01">
      <w:pPr>
        <w:pStyle w:val="a4"/>
        <w:numPr>
          <w:ilvl w:val="0"/>
          <w:numId w:val="3"/>
        </w:numPr>
        <w:spacing w:after="120" w:line="264" w:lineRule="auto"/>
        <w:ind w:left="714" w:hanging="357"/>
        <w:contextualSpacing w:val="0"/>
        <w:jc w:val="both"/>
        <w:rPr>
          <w:sz w:val="24"/>
          <w:szCs w:val="24"/>
        </w:rPr>
      </w:pPr>
      <w:r w:rsidRPr="002438DE">
        <w:rPr>
          <w:sz w:val="24"/>
          <w:szCs w:val="24"/>
        </w:rPr>
        <w:t>λοιπές υπηρεσίες που δεν αφορούν τηλεπικοινωνίες ή τηλεοπτικό περιεχόμενο.</w:t>
      </w:r>
    </w:p>
    <w:p w:rsidR="00B14617" w:rsidRPr="00CE3023" w:rsidRDefault="00B14617"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Επενδύσεις</w:t>
      </w:r>
    </w:p>
    <w:p w:rsidR="00E74A2C" w:rsidRPr="00CE3023" w:rsidRDefault="00E74A2C" w:rsidP="00E74A2C">
      <w:pPr>
        <w:spacing w:after="120" w:line="264" w:lineRule="auto"/>
        <w:ind w:left="360"/>
        <w:jc w:val="both"/>
        <w:rPr>
          <w:sz w:val="24"/>
          <w:szCs w:val="24"/>
        </w:rPr>
      </w:pPr>
      <w:r w:rsidRPr="00CE3023">
        <w:rPr>
          <w:sz w:val="24"/>
          <w:szCs w:val="24"/>
        </w:rPr>
        <w:t xml:space="preserve">Ζητούμε τις επενδύσεις που έκανε η εταιρεία κατά τη διάρκεια της υπό εξέταση χρονικής περιόδου, σε </w:t>
      </w:r>
      <w:r w:rsidR="008F5CF6" w:rsidRPr="00CE3023">
        <w:rPr>
          <w:sz w:val="24"/>
          <w:szCs w:val="24"/>
        </w:rPr>
        <w:t>ευρώ. Συγκεκριμένα</w:t>
      </w:r>
      <w:r w:rsidRPr="00CE3023">
        <w:rPr>
          <w:sz w:val="24"/>
          <w:szCs w:val="24"/>
        </w:rPr>
        <w:t xml:space="preserve"> ζητούνται:</w:t>
      </w:r>
    </w:p>
    <w:p w:rsidR="00B14617" w:rsidRPr="00F73B77" w:rsidRDefault="00B14617" w:rsidP="00B87B01">
      <w:pPr>
        <w:pStyle w:val="a4"/>
        <w:numPr>
          <w:ilvl w:val="0"/>
          <w:numId w:val="3"/>
        </w:numPr>
        <w:spacing w:after="120" w:line="264" w:lineRule="auto"/>
        <w:ind w:left="714" w:hanging="357"/>
        <w:contextualSpacing w:val="0"/>
        <w:jc w:val="both"/>
        <w:rPr>
          <w:sz w:val="24"/>
          <w:szCs w:val="24"/>
        </w:rPr>
      </w:pPr>
      <w:r w:rsidRPr="00F73B77">
        <w:rPr>
          <w:sz w:val="24"/>
          <w:szCs w:val="24"/>
        </w:rPr>
        <w:t>Επενδύσει</w:t>
      </w:r>
      <w:r w:rsidR="00330B65">
        <w:rPr>
          <w:sz w:val="24"/>
          <w:szCs w:val="24"/>
        </w:rPr>
        <w:t>ς σε ενσώματες ακινητοποιήσεις οι οποίες αναλύονται στις</w:t>
      </w:r>
      <w:r w:rsidR="00F73B77" w:rsidRPr="00F73B77">
        <w:rPr>
          <w:sz w:val="24"/>
          <w:szCs w:val="24"/>
        </w:rPr>
        <w:t xml:space="preserve"> ε</w:t>
      </w:r>
      <w:r w:rsidRPr="00F73B77">
        <w:rPr>
          <w:sz w:val="24"/>
          <w:szCs w:val="24"/>
        </w:rPr>
        <w:t>πενδύσεις για την απόκτηση ιδιοκτησίας (π.χ. γη και κτίρια)</w:t>
      </w:r>
      <w:r w:rsidR="00F73B77" w:rsidRPr="00F73B77">
        <w:rPr>
          <w:sz w:val="24"/>
          <w:szCs w:val="24"/>
        </w:rPr>
        <w:t xml:space="preserve">, </w:t>
      </w:r>
      <w:r w:rsidRPr="00F73B77">
        <w:rPr>
          <w:sz w:val="24"/>
          <w:szCs w:val="24"/>
        </w:rPr>
        <w:t>τηλεπικοινωνιακή</w:t>
      </w:r>
      <w:r w:rsidR="00F73B77" w:rsidRPr="00F73B77">
        <w:rPr>
          <w:sz w:val="24"/>
          <w:szCs w:val="24"/>
        </w:rPr>
        <w:t>ς</w:t>
      </w:r>
      <w:r w:rsidRPr="00F73B77">
        <w:rPr>
          <w:sz w:val="24"/>
          <w:szCs w:val="24"/>
        </w:rPr>
        <w:t xml:space="preserve"> υποδομή</w:t>
      </w:r>
      <w:r w:rsidR="00F73B77" w:rsidRPr="00F73B77">
        <w:rPr>
          <w:sz w:val="24"/>
          <w:szCs w:val="24"/>
        </w:rPr>
        <w:t>ς</w:t>
      </w:r>
      <w:r w:rsidRPr="00F73B77">
        <w:rPr>
          <w:sz w:val="24"/>
          <w:szCs w:val="24"/>
        </w:rPr>
        <w:t>, η οποία μπορεί να είναι τεχνικής φύσεως (τάφροι, καλώδια, αγωγοί κλπ.), ηλεκτρονικής φύσεως (κόμβοι, πόρτες δικτύου κλπ.) και ασύρματος εξοπλισμός (ιστοί, κεραίες κλπ.)</w:t>
      </w:r>
      <w:r w:rsidR="00F73B77" w:rsidRPr="00F73B77">
        <w:rPr>
          <w:sz w:val="24"/>
          <w:szCs w:val="24"/>
        </w:rPr>
        <w:t xml:space="preserve">, </w:t>
      </w:r>
      <w:r w:rsidR="00F73B77">
        <w:rPr>
          <w:sz w:val="24"/>
          <w:szCs w:val="24"/>
        </w:rPr>
        <w:t>καθώς και λ</w:t>
      </w:r>
      <w:r w:rsidRPr="00F73B77">
        <w:rPr>
          <w:sz w:val="24"/>
          <w:szCs w:val="24"/>
        </w:rPr>
        <w:t>οιπές επενδύσεις: π.χ. εξοπλισμός γραφείου, μηχανοκίνητα οχήματα κλπ.</w:t>
      </w:r>
      <w:r w:rsidR="00E74A2C" w:rsidRPr="00F73B77">
        <w:rPr>
          <w:sz w:val="24"/>
          <w:szCs w:val="24"/>
        </w:rPr>
        <w:t xml:space="preserve"> </w:t>
      </w:r>
    </w:p>
    <w:p w:rsidR="00B14617" w:rsidRPr="00CE3023" w:rsidRDefault="00B14617" w:rsidP="00B87B01">
      <w:pPr>
        <w:pStyle w:val="a4"/>
        <w:numPr>
          <w:ilvl w:val="0"/>
          <w:numId w:val="3"/>
        </w:numPr>
        <w:spacing w:after="120" w:line="264" w:lineRule="auto"/>
        <w:ind w:left="714" w:hanging="357"/>
        <w:contextualSpacing w:val="0"/>
        <w:jc w:val="both"/>
        <w:rPr>
          <w:sz w:val="24"/>
          <w:szCs w:val="24"/>
        </w:rPr>
      </w:pPr>
      <w:r w:rsidRPr="00CE3023">
        <w:rPr>
          <w:sz w:val="24"/>
          <w:szCs w:val="24"/>
        </w:rPr>
        <w:lastRenderedPageBreak/>
        <w:t>Επενδύσεις σε ασώματες ακινητοποιήσεις</w:t>
      </w:r>
      <w:r w:rsidR="00E74A2C" w:rsidRPr="00CE3023">
        <w:rPr>
          <w:sz w:val="24"/>
          <w:szCs w:val="24"/>
        </w:rPr>
        <w:t xml:space="preserve">  οι οποίες αναλύονται σε</w:t>
      </w:r>
      <w:r w:rsidRPr="00CE3023">
        <w:rPr>
          <w:sz w:val="24"/>
          <w:szCs w:val="24"/>
        </w:rPr>
        <w:t xml:space="preserve"> συνολική επένδυση </w:t>
      </w:r>
      <w:r w:rsidR="00E74A2C" w:rsidRPr="00CE3023">
        <w:rPr>
          <w:sz w:val="24"/>
          <w:szCs w:val="24"/>
        </w:rPr>
        <w:t>για</w:t>
      </w:r>
      <w:r w:rsidRPr="00CE3023">
        <w:rPr>
          <w:sz w:val="24"/>
          <w:szCs w:val="24"/>
        </w:rPr>
        <w:t xml:space="preserve"> έρευνα και ανάπτυξη (π.χ. απόκτηση λογισμικών προγραμμάτων, ανάπτυξη νέων υπηρεσιών) καθώς και </w:t>
      </w:r>
      <w:r w:rsidR="00E74A2C" w:rsidRPr="00CE3023">
        <w:rPr>
          <w:sz w:val="24"/>
          <w:szCs w:val="24"/>
        </w:rPr>
        <w:t xml:space="preserve">σε συνολική επένδυση για </w:t>
      </w:r>
      <w:r w:rsidRPr="00CE3023">
        <w:rPr>
          <w:sz w:val="24"/>
          <w:szCs w:val="24"/>
        </w:rPr>
        <w:t xml:space="preserve">υπηρεσίες </w:t>
      </w:r>
      <w:proofErr w:type="spellStart"/>
      <w:r w:rsidRPr="00CE3023">
        <w:rPr>
          <w:sz w:val="24"/>
          <w:szCs w:val="24"/>
        </w:rPr>
        <w:t>αδειοδότησης</w:t>
      </w:r>
      <w:proofErr w:type="spellEnd"/>
      <w:r w:rsidRPr="00CE3023">
        <w:rPr>
          <w:sz w:val="24"/>
          <w:szCs w:val="24"/>
        </w:rPr>
        <w:t xml:space="preserve"> ή δικαιώματα χρήσης από την ΕΕΤΤ (π.χ. άδειες φάσματος κλπ.).</w:t>
      </w:r>
    </w:p>
    <w:p w:rsidR="00E74A2C" w:rsidRPr="00CE3023" w:rsidRDefault="00B14617" w:rsidP="00065641">
      <w:pPr>
        <w:pStyle w:val="a4"/>
        <w:keepNext/>
        <w:numPr>
          <w:ilvl w:val="0"/>
          <w:numId w:val="1"/>
        </w:numPr>
        <w:spacing w:after="120" w:line="264" w:lineRule="auto"/>
        <w:ind w:left="357" w:hanging="357"/>
        <w:contextualSpacing w:val="0"/>
        <w:jc w:val="both"/>
        <w:rPr>
          <w:bCs/>
          <w:sz w:val="24"/>
          <w:szCs w:val="24"/>
          <w:u w:val="single"/>
        </w:rPr>
      </w:pPr>
      <w:r w:rsidRPr="00CE3023">
        <w:rPr>
          <w:bCs/>
          <w:sz w:val="24"/>
          <w:szCs w:val="24"/>
          <w:u w:val="single"/>
        </w:rPr>
        <w:t xml:space="preserve">Αριθμός Εργαζομένων: </w:t>
      </w:r>
    </w:p>
    <w:p w:rsidR="00B14617" w:rsidRPr="00CE3023" w:rsidRDefault="00E74A2C" w:rsidP="00E74A2C">
      <w:pPr>
        <w:spacing w:after="120" w:line="264" w:lineRule="auto"/>
        <w:ind w:left="360"/>
        <w:jc w:val="both"/>
        <w:rPr>
          <w:sz w:val="24"/>
          <w:szCs w:val="24"/>
        </w:rPr>
      </w:pPr>
      <w:r w:rsidRPr="00CE3023">
        <w:rPr>
          <w:sz w:val="24"/>
          <w:szCs w:val="24"/>
        </w:rPr>
        <w:t xml:space="preserve">Αφορά </w:t>
      </w:r>
      <w:r w:rsidR="00330B65">
        <w:rPr>
          <w:sz w:val="24"/>
          <w:szCs w:val="24"/>
        </w:rPr>
        <w:t>σ</w:t>
      </w:r>
      <w:r w:rsidR="00B14617" w:rsidRPr="00CE3023">
        <w:rPr>
          <w:sz w:val="24"/>
          <w:szCs w:val="24"/>
        </w:rPr>
        <w:t>το πλήθος των υπαλλήλων πλήρους απασχόλησης στο τέλος της υπό εξέταση περιόδου. Το προσωπικό μερικής απασχόλησης θα πρέπει να εκφραστεί σε ισοδύναμους όρους πλήρους απασχόλησης).</w:t>
      </w:r>
    </w:p>
    <w:p w:rsidR="00E74A2C" w:rsidRPr="00330B65" w:rsidRDefault="000A4BEF" w:rsidP="00B87B01">
      <w:pPr>
        <w:pStyle w:val="a4"/>
        <w:numPr>
          <w:ilvl w:val="0"/>
          <w:numId w:val="1"/>
        </w:numPr>
        <w:spacing w:after="120" w:line="264" w:lineRule="auto"/>
        <w:contextualSpacing w:val="0"/>
        <w:jc w:val="both"/>
        <w:rPr>
          <w:bCs/>
          <w:sz w:val="24"/>
          <w:szCs w:val="24"/>
          <w:u w:val="single"/>
        </w:rPr>
      </w:pPr>
      <w:r w:rsidRPr="00330B65">
        <w:rPr>
          <w:bCs/>
          <w:sz w:val="24"/>
          <w:szCs w:val="24"/>
          <w:u w:val="single"/>
        </w:rPr>
        <w:t>Κατηγοριοποίηση στοιχείων</w:t>
      </w:r>
      <w:r w:rsidR="00B14617" w:rsidRPr="00330B65">
        <w:rPr>
          <w:bCs/>
          <w:sz w:val="24"/>
          <w:szCs w:val="24"/>
          <w:u w:val="single"/>
        </w:rPr>
        <w:t xml:space="preserve">: </w:t>
      </w:r>
    </w:p>
    <w:p w:rsidR="000A4BEF" w:rsidRPr="00330B65" w:rsidRDefault="000A4BEF" w:rsidP="00E74A2C">
      <w:pPr>
        <w:spacing w:after="120" w:line="264" w:lineRule="auto"/>
        <w:ind w:left="360"/>
        <w:jc w:val="both"/>
        <w:rPr>
          <w:sz w:val="24"/>
          <w:szCs w:val="24"/>
        </w:rPr>
      </w:pPr>
      <w:r w:rsidRPr="00330B65">
        <w:rPr>
          <w:sz w:val="24"/>
          <w:szCs w:val="24"/>
        </w:rPr>
        <w:t xml:space="preserve">Όλα τα παραπάνω στοιχεία (έσοδα, επενδύσεις, αριθμός εργαζομένων) θα πρέπει να κατηγοριοποιηθούν βάσει του τύπου δικτύου, ήτοι σε </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Σταθερά (ενσύρματα και ασύρματα)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Κινητά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Δορυφορικά Δίκτυα και Υπηρεσίες</w:t>
      </w:r>
    </w:p>
    <w:p w:rsidR="000A4BEF" w:rsidRPr="00330B65" w:rsidRDefault="000A4BEF" w:rsidP="00B87B01">
      <w:pPr>
        <w:pStyle w:val="a4"/>
        <w:numPr>
          <w:ilvl w:val="0"/>
          <w:numId w:val="3"/>
        </w:numPr>
        <w:spacing w:after="120" w:line="264" w:lineRule="auto"/>
        <w:ind w:left="714" w:hanging="357"/>
        <w:contextualSpacing w:val="0"/>
        <w:jc w:val="both"/>
        <w:rPr>
          <w:sz w:val="24"/>
          <w:szCs w:val="24"/>
        </w:rPr>
      </w:pPr>
      <w:r w:rsidRPr="00330B65">
        <w:rPr>
          <w:sz w:val="24"/>
          <w:szCs w:val="24"/>
        </w:rPr>
        <w:t>Ότι δεν μπορεί να συμπεριληφθεί στα προηγούμενα</w:t>
      </w:r>
    </w:p>
    <w:p w:rsidR="000A4BEF" w:rsidRPr="00CE3023" w:rsidRDefault="000A4BEF" w:rsidP="00B87B01">
      <w:pPr>
        <w:pStyle w:val="a4"/>
        <w:numPr>
          <w:ilvl w:val="0"/>
          <w:numId w:val="1"/>
        </w:numPr>
        <w:spacing w:after="120" w:line="264" w:lineRule="auto"/>
        <w:contextualSpacing w:val="0"/>
        <w:jc w:val="both"/>
        <w:rPr>
          <w:bCs/>
          <w:sz w:val="24"/>
          <w:szCs w:val="24"/>
          <w:u w:val="single"/>
        </w:rPr>
      </w:pPr>
      <w:r w:rsidRPr="00CE3023">
        <w:rPr>
          <w:bCs/>
          <w:sz w:val="24"/>
          <w:szCs w:val="24"/>
          <w:u w:val="single"/>
        </w:rPr>
        <w:t xml:space="preserve">Κύκλος Εργασιών Βάσει Δημοσιευμένου Ισολογισμού: </w:t>
      </w:r>
    </w:p>
    <w:p w:rsidR="000A4BEF" w:rsidRPr="00CE3023" w:rsidRDefault="000A4BEF" w:rsidP="000A4BEF">
      <w:pPr>
        <w:spacing w:after="120" w:line="264" w:lineRule="auto"/>
        <w:ind w:left="360"/>
        <w:jc w:val="both"/>
        <w:rPr>
          <w:sz w:val="24"/>
          <w:szCs w:val="24"/>
        </w:rPr>
      </w:pPr>
      <w:r w:rsidRPr="00CE3023">
        <w:rPr>
          <w:sz w:val="24"/>
          <w:szCs w:val="24"/>
        </w:rPr>
        <w:t xml:space="preserve">Στο κελί αυτό θα έρχεται ο κύκλος εργασιών της εταιρείας (Οικονομικές Καταστάσεις-) και θα συγκρίνεται με τον κύκλο εργασιών της εταιρείας όπως δηλώνεται και αναλύεται στο </w:t>
      </w:r>
      <w:r w:rsidR="00BB5F97">
        <w:rPr>
          <w:sz w:val="24"/>
          <w:szCs w:val="24"/>
        </w:rPr>
        <w:t>παρόν ερωτηματολόγιο</w:t>
      </w:r>
      <w:r w:rsidRPr="00CE3023">
        <w:rPr>
          <w:sz w:val="24"/>
          <w:szCs w:val="24"/>
        </w:rPr>
        <w:t>.</w:t>
      </w:r>
      <w:r w:rsidR="00DC22C0">
        <w:rPr>
          <w:sz w:val="24"/>
          <w:szCs w:val="24"/>
        </w:rPr>
        <w:t xml:space="preserve">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E74A2C" w:rsidP="00E74A2C">
      <w:pPr>
        <w:spacing w:after="120" w:line="264" w:lineRule="auto"/>
        <w:jc w:val="both"/>
        <w:rPr>
          <w:sz w:val="24"/>
          <w:szCs w:val="24"/>
        </w:rPr>
      </w:pPr>
    </w:p>
    <w:p w:rsidR="00B14617" w:rsidRPr="003634DD" w:rsidRDefault="00B14617" w:rsidP="003634DD">
      <w:pPr>
        <w:pStyle w:val="2"/>
      </w:pPr>
      <w:bookmarkStart w:id="11" w:name="_Toc424811200"/>
      <w:bookmarkStart w:id="12" w:name="_Toc424811287"/>
      <w:bookmarkStart w:id="13" w:name="_Toc424811344"/>
      <w:bookmarkStart w:id="14" w:name="_Toc446331433"/>
      <w:r w:rsidRPr="003634DD">
        <w:t>Β. Ανάλυση Λιανικών και Χονδρικών Εσόδων</w:t>
      </w:r>
      <w:bookmarkEnd w:id="11"/>
      <w:bookmarkEnd w:id="12"/>
      <w:bookmarkEnd w:id="13"/>
      <w:bookmarkEnd w:id="14"/>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Τηλεφωνίας &amp; Διαδικτύου (συμπεριλαμβανομένης της πρόσβασης στο τηλεφωνικό δίκτυο): </w:t>
      </w:r>
    </w:p>
    <w:p w:rsidR="003631A5" w:rsidRPr="00330B65" w:rsidRDefault="00D955E1" w:rsidP="00D955E1">
      <w:pPr>
        <w:spacing w:after="120" w:line="264" w:lineRule="auto"/>
        <w:ind w:left="360"/>
        <w:jc w:val="both"/>
        <w:rPr>
          <w:sz w:val="24"/>
          <w:szCs w:val="24"/>
        </w:rPr>
      </w:pPr>
      <w:r w:rsidRPr="00330B65">
        <w:rPr>
          <w:sz w:val="24"/>
          <w:szCs w:val="24"/>
        </w:rPr>
        <w:t>Στο κ</w:t>
      </w:r>
      <w:r w:rsidR="00EF299B" w:rsidRPr="00330B65">
        <w:rPr>
          <w:sz w:val="24"/>
          <w:szCs w:val="24"/>
        </w:rPr>
        <w:t>ελί αυτό θα πρέπει να καταγραφούν</w:t>
      </w:r>
      <w:r w:rsidRPr="00330B65">
        <w:rPr>
          <w:sz w:val="24"/>
          <w:szCs w:val="24"/>
        </w:rPr>
        <w:t xml:space="preserve"> </w:t>
      </w:r>
      <w:r w:rsidR="00EF299B" w:rsidRPr="00330B65">
        <w:rPr>
          <w:sz w:val="24"/>
          <w:szCs w:val="24"/>
        </w:rPr>
        <w:t xml:space="preserve">τα συνολικά έσοδα </w:t>
      </w:r>
      <w:r w:rsidR="00F116F2" w:rsidRPr="00330B65">
        <w:rPr>
          <w:sz w:val="24"/>
          <w:szCs w:val="24"/>
        </w:rPr>
        <w:t xml:space="preserve">από </w:t>
      </w:r>
      <w:r w:rsidR="008C4134" w:rsidRPr="00330B65">
        <w:rPr>
          <w:sz w:val="24"/>
          <w:szCs w:val="24"/>
        </w:rPr>
        <w:t>λιανικές υπηρεσίες</w:t>
      </w:r>
      <w:r w:rsidRPr="00330B65">
        <w:rPr>
          <w:sz w:val="24"/>
          <w:szCs w:val="24"/>
        </w:rPr>
        <w:t xml:space="preserve"> τηλεφωνίας και διαδικτύου</w:t>
      </w:r>
      <w:r w:rsidR="009911E3">
        <w:rPr>
          <w:sz w:val="24"/>
          <w:szCs w:val="24"/>
        </w:rPr>
        <w:t xml:space="preserve"> (</w:t>
      </w:r>
      <w:r w:rsidR="009911E3" w:rsidRPr="009911E3">
        <w:rPr>
          <w:sz w:val="24"/>
          <w:szCs w:val="24"/>
        </w:rPr>
        <w:t>αλλά</w:t>
      </w:r>
      <w:r w:rsidR="009911E3">
        <w:rPr>
          <w:sz w:val="24"/>
          <w:szCs w:val="24"/>
        </w:rPr>
        <w:t xml:space="preserve"> όχι </w:t>
      </w:r>
      <w:r w:rsidR="009911E3" w:rsidRPr="009911E3">
        <w:rPr>
          <w:sz w:val="24"/>
          <w:szCs w:val="24"/>
        </w:rPr>
        <w:t xml:space="preserve">συνδρομητικού τηλεοπτικού περιεχομένου και </w:t>
      </w:r>
      <w:proofErr w:type="spellStart"/>
      <w:r w:rsidR="009911E3" w:rsidRPr="009911E3">
        <w:rPr>
          <w:sz w:val="24"/>
          <w:szCs w:val="24"/>
        </w:rPr>
        <w:t>VoD</w:t>
      </w:r>
      <w:proofErr w:type="spellEnd"/>
      <w:r w:rsidR="009911E3">
        <w:rPr>
          <w:sz w:val="24"/>
          <w:szCs w:val="24"/>
        </w:rPr>
        <w:t>)</w:t>
      </w:r>
      <w:r w:rsidR="009911E3" w:rsidRPr="009911E3">
        <w:rPr>
          <w:sz w:val="24"/>
          <w:szCs w:val="24"/>
        </w:rPr>
        <w:t xml:space="preserve">, </w:t>
      </w:r>
      <w:r w:rsidR="008C4134" w:rsidRPr="00330B65">
        <w:rPr>
          <w:sz w:val="24"/>
          <w:szCs w:val="24"/>
        </w:rPr>
        <w:t>που παρέχονται μέσω σταθερών δικτύων</w:t>
      </w:r>
      <w:r w:rsidRPr="00330B65">
        <w:rPr>
          <w:sz w:val="24"/>
          <w:szCs w:val="24"/>
        </w:rPr>
        <w:t>, όπως αυτός αναλύεται στο «Ερωτηματολόγιο εσόδων &amp; κίνησης υπηρεσιών σε σταθερή θέση»</w:t>
      </w:r>
      <w:r w:rsidR="008C4134" w:rsidRPr="00330B65">
        <w:rPr>
          <w:sz w:val="24"/>
          <w:szCs w:val="24"/>
        </w:rPr>
        <w:t>.</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Μισθωμένες γραμμές &amp; υπηρεσίες δεδομένων λιανικής: </w:t>
      </w:r>
    </w:p>
    <w:p w:rsidR="00AA08DB" w:rsidRPr="00330B65" w:rsidRDefault="00AA08DB" w:rsidP="00AA08DB">
      <w:pPr>
        <w:spacing w:after="120" w:line="264" w:lineRule="auto"/>
        <w:ind w:left="360"/>
        <w:jc w:val="both"/>
        <w:rPr>
          <w:sz w:val="24"/>
          <w:szCs w:val="24"/>
        </w:rPr>
      </w:pPr>
      <w:r w:rsidRPr="00330B65">
        <w:rPr>
          <w:sz w:val="24"/>
          <w:szCs w:val="24"/>
        </w:rPr>
        <w:t>Στο κελί αυτό θα πρέπει να καταγραφούν τα συνολικά έσοδα από λιανικές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330B65">
        <w:rPr>
          <w:sz w:val="24"/>
          <w:szCs w:val="24"/>
        </w:rPr>
        <w:t xml:space="preserve"> </w:t>
      </w:r>
      <w:r w:rsidR="001C2673">
        <w:rPr>
          <w:sz w:val="24"/>
          <w:szCs w:val="24"/>
        </w:rPr>
        <w:t xml:space="preserve">Τα μεγέθη μεταξύ των δυο </w:t>
      </w:r>
      <w:r w:rsidR="001C2673">
        <w:rPr>
          <w:sz w:val="24"/>
          <w:szCs w:val="24"/>
        </w:rPr>
        <w:lastRenderedPageBreak/>
        <w:t>ερωτηματολογίων δεν είναι απαραίτητο να ταυτίζονται, αλλά μεγάλες διαφορές θα πρέπει να μπορούν να εξηγηθούν.</w:t>
      </w:r>
    </w:p>
    <w:p w:rsidR="00026CAD" w:rsidRPr="00CE3023" w:rsidRDefault="00026CAD"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AA08DB" w:rsidRPr="00330B65" w:rsidRDefault="00AA08DB" w:rsidP="00AA08DB">
      <w:pPr>
        <w:spacing w:after="120" w:line="264" w:lineRule="auto"/>
        <w:ind w:left="360"/>
        <w:jc w:val="both"/>
        <w:rPr>
          <w:sz w:val="24"/>
          <w:szCs w:val="24"/>
        </w:rPr>
      </w:pPr>
      <w:r w:rsidRPr="00330B65">
        <w:rPr>
          <w:sz w:val="24"/>
          <w:szCs w:val="24"/>
        </w:rPr>
        <w:t xml:space="preserve">Στο κελί αυτό θα πρέπει να καταγραφούν τα </w:t>
      </w:r>
      <w:r w:rsidR="00EF299B" w:rsidRPr="00330B65">
        <w:rPr>
          <w:sz w:val="24"/>
          <w:szCs w:val="24"/>
        </w:rPr>
        <w:t xml:space="preserve">συνολικά </w:t>
      </w:r>
      <w:r w:rsidRPr="00330B65">
        <w:rPr>
          <w:sz w:val="24"/>
          <w:szCs w:val="24"/>
        </w:rPr>
        <w:t>έσοδα από την παροχή λιανικών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097105"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σταθερής</w:t>
      </w:r>
      <w:r w:rsidR="00097105" w:rsidRPr="00CE3023">
        <w:rPr>
          <w:bCs/>
          <w:sz w:val="24"/>
          <w:szCs w:val="24"/>
          <w:u w:val="single"/>
        </w:rPr>
        <w:t xml:space="preserve">: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υπηρεσίες διασύνδεσης σταθερής (εκκίνηση, τερματισμός και διαβίβαση κλήσεων), όπως αυτά αναλύονται στα αντίστοιχα ερωτηματολόγια «Ερωτηματολόγιο διασύνδεσης (σταθερής)» και «Ερωτηματολόγιο διασύνδεσης ΟΤΕ».</w:t>
      </w:r>
      <w:r w:rsidR="003631A5" w:rsidRPr="00330B65">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097105" w:rsidRPr="00330B65"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330B65">
        <w:rPr>
          <w:bCs/>
          <w:sz w:val="24"/>
          <w:szCs w:val="24"/>
          <w:u w:val="single"/>
        </w:rPr>
        <w:t xml:space="preserve">Υπηρεσίες πρόσβασης χονδρικής: </w:t>
      </w:r>
    </w:p>
    <w:p w:rsidR="00A57B90" w:rsidRPr="00330B65" w:rsidRDefault="00097105" w:rsidP="00097105">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 xml:space="preserve">από </w:t>
      </w:r>
      <w:r w:rsidR="00A57B90" w:rsidRPr="00330B65">
        <w:rPr>
          <w:sz w:val="24"/>
          <w:szCs w:val="24"/>
        </w:rPr>
        <w:t>χονδρικές υπηρεσίες πρόσβασης</w:t>
      </w:r>
      <w:r w:rsidRPr="00330B65">
        <w:rPr>
          <w:sz w:val="24"/>
          <w:szCs w:val="24"/>
        </w:rPr>
        <w:t xml:space="preserve"> </w:t>
      </w:r>
      <w:r w:rsidR="00A57B90" w:rsidRPr="00330B65">
        <w:rPr>
          <w:sz w:val="24"/>
          <w:szCs w:val="24"/>
        </w:rPr>
        <w:t>σε δίκτυα ηλεκτρονικών επικοινωνιών,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Συνεγκατάσταση</w:t>
      </w:r>
      <w:proofErr w:type="spellEnd"/>
      <w:r w:rsidRPr="00330B65">
        <w:rPr>
          <w:sz w:val="24"/>
          <w:szCs w:val="24"/>
        </w:rPr>
        <w:t xml:space="preserve"> (φυσική, απομακρυσμένη) και κάθε συναφές έσοδο</w:t>
      </w:r>
    </w:p>
    <w:p w:rsidR="00A57B90" w:rsidRDefault="00A57B90" w:rsidP="00B87B01">
      <w:pPr>
        <w:pStyle w:val="a4"/>
        <w:numPr>
          <w:ilvl w:val="0"/>
          <w:numId w:val="3"/>
        </w:numPr>
        <w:spacing w:after="120" w:line="264" w:lineRule="auto"/>
        <w:ind w:left="714" w:hanging="357"/>
        <w:contextualSpacing w:val="0"/>
        <w:jc w:val="both"/>
        <w:rPr>
          <w:sz w:val="24"/>
          <w:szCs w:val="24"/>
        </w:rPr>
      </w:pPr>
      <w:proofErr w:type="spellStart"/>
      <w:r w:rsidRPr="00330B65">
        <w:rPr>
          <w:sz w:val="24"/>
          <w:szCs w:val="24"/>
        </w:rPr>
        <w:t>Αδεσμοποίητη</w:t>
      </w:r>
      <w:proofErr w:type="spellEnd"/>
      <w:r w:rsidRPr="00330B65">
        <w:rPr>
          <w:sz w:val="24"/>
          <w:szCs w:val="24"/>
        </w:rPr>
        <w:t xml:space="preserve"> Πρόσβαση στον Τοπικό Βρόχο ή </w:t>
      </w:r>
      <w:proofErr w:type="spellStart"/>
      <w:r w:rsidRPr="00330B65">
        <w:rPr>
          <w:sz w:val="24"/>
          <w:szCs w:val="24"/>
        </w:rPr>
        <w:t>Υποβρόχο</w:t>
      </w:r>
      <w:proofErr w:type="spellEnd"/>
      <w:r w:rsidRPr="00330B65">
        <w:rPr>
          <w:sz w:val="24"/>
          <w:szCs w:val="24"/>
        </w:rPr>
        <w:t xml:space="preserve"> (πλήρης ή μεριζόμενη)</w:t>
      </w:r>
    </w:p>
    <w:p w:rsidR="00157EE7" w:rsidRPr="00CE3023" w:rsidRDefault="00330B65" w:rsidP="00B87B01">
      <w:pPr>
        <w:pStyle w:val="a4"/>
        <w:keepNext/>
        <w:numPr>
          <w:ilvl w:val="0"/>
          <w:numId w:val="4"/>
        </w:numPr>
        <w:spacing w:after="120" w:line="264" w:lineRule="auto"/>
        <w:ind w:left="357" w:hanging="357"/>
        <w:contextualSpacing w:val="0"/>
        <w:jc w:val="both"/>
        <w:rPr>
          <w:bCs/>
          <w:sz w:val="24"/>
          <w:szCs w:val="24"/>
          <w:u w:val="single"/>
        </w:rPr>
      </w:pPr>
      <w:r w:rsidRPr="00330B65" w:rsidDel="00157EE7">
        <w:rPr>
          <w:sz w:val="24"/>
          <w:szCs w:val="24"/>
        </w:rPr>
        <w:t xml:space="preserve"> </w:t>
      </w:r>
      <w:r w:rsidR="00157EE7" w:rsidRPr="00CE3023">
        <w:rPr>
          <w:bCs/>
          <w:sz w:val="24"/>
          <w:szCs w:val="24"/>
          <w:u w:val="single"/>
        </w:rPr>
        <w:t xml:space="preserve">Υπηρεσίες </w:t>
      </w:r>
      <w:proofErr w:type="spellStart"/>
      <w:r w:rsidR="00157EE7" w:rsidRPr="00CE3023">
        <w:rPr>
          <w:bCs/>
          <w:sz w:val="24"/>
          <w:szCs w:val="24"/>
          <w:u w:val="single"/>
        </w:rPr>
        <w:t>πολυμεσικής</w:t>
      </w:r>
      <w:proofErr w:type="spellEnd"/>
      <w:r w:rsidR="00157EE7" w:rsidRPr="00CE3023">
        <w:rPr>
          <w:bCs/>
          <w:sz w:val="24"/>
          <w:szCs w:val="24"/>
          <w:u w:val="single"/>
        </w:rPr>
        <w:t xml:space="preserve"> πληροφόρησης: </w:t>
      </w:r>
    </w:p>
    <w:p w:rsidR="00A57B90" w:rsidRPr="00330B65" w:rsidRDefault="00157EE7" w:rsidP="00330B65">
      <w:pPr>
        <w:pStyle w:val="a4"/>
        <w:spacing w:after="120" w:line="264" w:lineRule="auto"/>
        <w:ind w:left="284"/>
        <w:contextualSpacing w:val="0"/>
        <w:jc w:val="both"/>
        <w:rPr>
          <w:sz w:val="24"/>
          <w:szCs w:val="24"/>
        </w:rPr>
      </w:pPr>
      <w:r w:rsidRPr="00330B65">
        <w:rPr>
          <w:sz w:val="24"/>
          <w:szCs w:val="24"/>
        </w:rPr>
        <w:t xml:space="preserve">Στο κελί αυτό θα πρέπει να καταγραφούν τα συνολικά έσοδα από υπηρεσίες </w:t>
      </w:r>
      <w:proofErr w:type="spellStart"/>
      <w:r w:rsidRPr="00330B65">
        <w:rPr>
          <w:sz w:val="24"/>
          <w:szCs w:val="24"/>
        </w:rPr>
        <w:t>πολυμεσικής</w:t>
      </w:r>
      <w:proofErr w:type="spellEnd"/>
      <w:r w:rsidRPr="00330B65">
        <w:rPr>
          <w:sz w:val="24"/>
          <w:szCs w:val="24"/>
        </w:rPr>
        <w:t xml:space="preserve"> πληροφόρησης και υπηρεσίες καταλόγου, όπως αυτό αναλύεται στο «Υπηρεσίες </w:t>
      </w:r>
      <w:proofErr w:type="spellStart"/>
      <w:r w:rsidRPr="00330B65">
        <w:rPr>
          <w:sz w:val="24"/>
          <w:szCs w:val="24"/>
        </w:rPr>
        <w:t>Πολυμεσικής</w:t>
      </w:r>
      <w:proofErr w:type="spellEnd"/>
      <w:r w:rsidRPr="00330B65">
        <w:rPr>
          <w:sz w:val="24"/>
          <w:szCs w:val="24"/>
        </w:rPr>
        <w:t xml:space="preserve"> Πληροφόρησης &amp; Καταλόγου», και</w:t>
      </w:r>
      <w:r w:rsidR="001C2673">
        <w:rPr>
          <w:sz w:val="24"/>
          <w:szCs w:val="24"/>
        </w:rPr>
        <w:t xml:space="preserve"> σε έσοδο του </w:t>
      </w:r>
      <w:proofErr w:type="spellStart"/>
      <w:r w:rsidR="001C2673">
        <w:rPr>
          <w:sz w:val="24"/>
          <w:szCs w:val="24"/>
        </w:rPr>
        <w:t>παρόχου</w:t>
      </w:r>
      <w:proofErr w:type="spellEnd"/>
      <w:r w:rsidR="001C2673">
        <w:rPr>
          <w:sz w:val="24"/>
          <w:szCs w:val="24"/>
        </w:rPr>
        <w:t xml:space="preserve"> υπηρεσίας. 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t xml:space="preserve">Υπηρεσίες </w:t>
      </w:r>
      <w:r w:rsidR="00097105" w:rsidRPr="001F634C">
        <w:rPr>
          <w:sz w:val="24"/>
          <w:szCs w:val="24"/>
          <w:u w:val="single"/>
        </w:rPr>
        <w:t>διαδικτύου</w:t>
      </w:r>
      <w:r w:rsidR="00097105" w:rsidRPr="001F634C">
        <w:rPr>
          <w:bCs/>
          <w:sz w:val="24"/>
          <w:szCs w:val="24"/>
          <w:u w:val="single"/>
        </w:rPr>
        <w:t xml:space="preserve"> χονδρικής</w:t>
      </w:r>
      <w:r w:rsidRPr="001F634C">
        <w:rPr>
          <w:bCs/>
          <w:sz w:val="24"/>
          <w:szCs w:val="24"/>
          <w:u w:val="single"/>
        </w:rPr>
        <w:t xml:space="preserve">: </w:t>
      </w:r>
    </w:p>
    <w:p w:rsidR="00A57B90" w:rsidRPr="00330B65" w:rsidRDefault="00A57B90" w:rsidP="00A57B90">
      <w:pPr>
        <w:spacing w:after="120" w:line="264" w:lineRule="auto"/>
        <w:ind w:left="360"/>
        <w:jc w:val="both"/>
        <w:rPr>
          <w:sz w:val="24"/>
          <w:szCs w:val="24"/>
        </w:rPr>
      </w:pPr>
      <w:r w:rsidRPr="00330B65">
        <w:rPr>
          <w:sz w:val="24"/>
          <w:szCs w:val="24"/>
        </w:rPr>
        <w:t>Στο κελί αυτό θα πρέπει να καταγραφ</w:t>
      </w:r>
      <w:r w:rsidR="00EF299B" w:rsidRPr="00330B65">
        <w:rPr>
          <w:sz w:val="24"/>
          <w:szCs w:val="24"/>
        </w:rPr>
        <w:t>ούν</w:t>
      </w:r>
      <w:r w:rsidRPr="00330B65">
        <w:rPr>
          <w:sz w:val="24"/>
          <w:szCs w:val="24"/>
        </w:rPr>
        <w:t xml:space="preserve"> </w:t>
      </w:r>
      <w:r w:rsidR="00EF299B" w:rsidRPr="00330B65">
        <w:rPr>
          <w:sz w:val="24"/>
          <w:szCs w:val="24"/>
        </w:rPr>
        <w:t xml:space="preserve">τα συνολικά έσοδα </w:t>
      </w:r>
      <w:r w:rsidRPr="00330B65">
        <w:rPr>
          <w:sz w:val="24"/>
          <w:szCs w:val="24"/>
        </w:rPr>
        <w:t>από υπηρεσίες διαδικτύου χονδρικής, μέσω σταθερών δικτύων, όπως ενδεικτικά:</w:t>
      </w:r>
    </w:p>
    <w:p w:rsidR="00A57B90" w:rsidRPr="00330B65" w:rsidRDefault="00A57B90" w:rsidP="00B87B01">
      <w:pPr>
        <w:pStyle w:val="a4"/>
        <w:numPr>
          <w:ilvl w:val="0"/>
          <w:numId w:val="3"/>
        </w:numPr>
        <w:spacing w:after="120" w:line="264" w:lineRule="auto"/>
        <w:ind w:left="714" w:hanging="357"/>
        <w:contextualSpacing w:val="0"/>
        <w:jc w:val="both"/>
        <w:rPr>
          <w:sz w:val="24"/>
          <w:szCs w:val="24"/>
        </w:rPr>
      </w:pPr>
      <w:r w:rsidRPr="00330B65">
        <w:rPr>
          <w:sz w:val="24"/>
          <w:szCs w:val="24"/>
        </w:rPr>
        <w:t>Έσοδα που σχετίζονται με την παροχή υπηρεσιών ΑΡΥΣ χονδρικής.</w:t>
      </w:r>
    </w:p>
    <w:p w:rsidR="00E74A2C" w:rsidRPr="00CE3023" w:rsidRDefault="00A57B90" w:rsidP="00B87B01">
      <w:pPr>
        <w:pStyle w:val="a4"/>
        <w:keepNext/>
        <w:numPr>
          <w:ilvl w:val="0"/>
          <w:numId w:val="4"/>
        </w:numPr>
        <w:spacing w:after="120" w:line="264" w:lineRule="auto"/>
        <w:ind w:left="357" w:hanging="357"/>
        <w:contextualSpacing w:val="0"/>
        <w:jc w:val="both"/>
        <w:rPr>
          <w:bCs/>
          <w:sz w:val="24"/>
          <w:szCs w:val="24"/>
          <w:u w:val="single"/>
        </w:rPr>
      </w:pPr>
      <w:r w:rsidRPr="00330B65">
        <w:rPr>
          <w:sz w:val="24"/>
          <w:szCs w:val="24"/>
        </w:rPr>
        <w:t xml:space="preserve"> </w:t>
      </w:r>
      <w:r w:rsidR="00B14617" w:rsidRPr="00CE3023">
        <w:rPr>
          <w:bCs/>
          <w:sz w:val="24"/>
          <w:szCs w:val="24"/>
          <w:u w:val="single"/>
        </w:rPr>
        <w:t xml:space="preserve">Μισθωμένες γραμμές &amp; υπηρεσίες δεδομένων χονδρικής: </w:t>
      </w:r>
    </w:p>
    <w:p w:rsidR="00AA08DB" w:rsidRPr="00582328" w:rsidRDefault="00AA08DB" w:rsidP="00AA08DB">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χονδρικές υπηρεσίες μισθωμένων γραμμών, που παρέχονται μέσω σταθερών δικτύων (αναλογικά κυκλώματα και ψηφιακά κυκλώματα αποκλειστικής χωρητικότητας), όπως αυτά αναλύονται στο «Ερωτηματολόγιο μισθωμένων γραμμών»</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1F634C"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1F634C">
        <w:rPr>
          <w:bCs/>
          <w:sz w:val="24"/>
          <w:szCs w:val="24"/>
          <w:u w:val="single"/>
        </w:rPr>
        <w:lastRenderedPageBreak/>
        <w:t xml:space="preserve">Λοιπές </w:t>
      </w:r>
      <w:r w:rsidR="00097105" w:rsidRPr="001F634C">
        <w:rPr>
          <w:sz w:val="24"/>
          <w:szCs w:val="24"/>
          <w:u w:val="single"/>
        </w:rPr>
        <w:t>υ</w:t>
      </w:r>
      <w:r w:rsidRPr="001F634C">
        <w:rPr>
          <w:sz w:val="24"/>
          <w:szCs w:val="24"/>
          <w:u w:val="single"/>
        </w:rPr>
        <w:t>πηρεσίες</w:t>
      </w:r>
      <w:r w:rsidRPr="001F634C">
        <w:rPr>
          <w:bCs/>
          <w:sz w:val="24"/>
          <w:szCs w:val="24"/>
          <w:u w:val="single"/>
        </w:rPr>
        <w:t xml:space="preserve"> </w:t>
      </w:r>
      <w:r w:rsidR="00097105" w:rsidRPr="001F634C">
        <w:rPr>
          <w:bCs/>
          <w:sz w:val="24"/>
          <w:szCs w:val="24"/>
          <w:u w:val="single"/>
        </w:rPr>
        <w:t>χ</w:t>
      </w:r>
      <w:r w:rsidRPr="001F634C">
        <w:rPr>
          <w:bCs/>
          <w:sz w:val="24"/>
          <w:szCs w:val="24"/>
          <w:u w:val="single"/>
        </w:rPr>
        <w:t xml:space="preserve">ονδρικής: </w:t>
      </w:r>
    </w:p>
    <w:p w:rsidR="00AA08DB" w:rsidRPr="00582328" w:rsidRDefault="00AA08DB" w:rsidP="00AA08DB">
      <w:pPr>
        <w:spacing w:after="120" w:line="264" w:lineRule="auto"/>
        <w:ind w:left="360"/>
        <w:jc w:val="both"/>
        <w:rPr>
          <w:sz w:val="24"/>
          <w:szCs w:val="24"/>
        </w:rPr>
      </w:pPr>
      <w:r w:rsidRPr="00582328">
        <w:rPr>
          <w:sz w:val="24"/>
          <w:szCs w:val="24"/>
        </w:rPr>
        <w:t xml:space="preserve">Στο κελί αυτό θα πρέπει να καταγραφούν τα </w:t>
      </w:r>
      <w:r w:rsidR="00EF299B" w:rsidRPr="00582328">
        <w:rPr>
          <w:sz w:val="24"/>
          <w:szCs w:val="24"/>
        </w:rPr>
        <w:t xml:space="preserve">συνολικά </w:t>
      </w:r>
      <w:r w:rsidRPr="00582328">
        <w:rPr>
          <w:sz w:val="24"/>
          <w:szCs w:val="24"/>
        </w:rPr>
        <w:t>έσοδα από την παροχή χονδρικών υπηρεσιών ηλεκτρονικών επικοινωνιών μέσα από σταθερά δίκτυα, που δεν εντάσσονται σε κάποια από τις προηγούμενες κατηγορίες. Στο σχόλιο καλείστε να αναφέρετε ποιες είναι αυτές οι υπηρεσίες.</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φωνής κινητής τηλεφωνίας: </w:t>
      </w:r>
    </w:p>
    <w:p w:rsidR="00D955E1" w:rsidRPr="00582328" w:rsidRDefault="00D955E1" w:rsidP="00D955E1">
      <w:pPr>
        <w:spacing w:after="120" w:line="264" w:lineRule="auto"/>
        <w:ind w:left="360"/>
        <w:jc w:val="both"/>
        <w:rPr>
          <w:sz w:val="24"/>
          <w:szCs w:val="24"/>
        </w:rPr>
      </w:pPr>
      <w:r w:rsidRPr="00582328">
        <w:rPr>
          <w:sz w:val="24"/>
          <w:szCs w:val="24"/>
        </w:rPr>
        <w:t>Στο κελί αυτό θα πρέπει να καταγραφ</w:t>
      </w:r>
      <w:r w:rsidR="00EF299B" w:rsidRPr="00582328">
        <w:rPr>
          <w:sz w:val="24"/>
          <w:szCs w:val="24"/>
        </w:rPr>
        <w:t>ούν</w:t>
      </w:r>
      <w:r w:rsidRPr="00582328">
        <w:rPr>
          <w:sz w:val="24"/>
          <w:szCs w:val="24"/>
        </w:rPr>
        <w:t xml:space="preserve"> </w:t>
      </w:r>
      <w:r w:rsidR="00EF299B" w:rsidRPr="00582328">
        <w:rPr>
          <w:sz w:val="24"/>
          <w:szCs w:val="24"/>
        </w:rPr>
        <w:t xml:space="preserve">τα συνολικά έσοδα </w:t>
      </w:r>
      <w:r w:rsidR="00F116F2" w:rsidRPr="00582328">
        <w:rPr>
          <w:sz w:val="24"/>
          <w:szCs w:val="24"/>
        </w:rPr>
        <w:t>από</w:t>
      </w:r>
      <w:r w:rsidR="00EF299B" w:rsidRPr="00582328">
        <w:rPr>
          <w:sz w:val="24"/>
          <w:szCs w:val="24"/>
        </w:rPr>
        <w:t xml:space="preserve"> λιανικές υπηρεσίες φωνής κινητής τηλεφωνίας, όπως αυτά αναλύονται στο «Ερωτηματολόγιο Εσόδων </w:t>
      </w:r>
      <w:r w:rsidR="00582328">
        <w:rPr>
          <w:sz w:val="24"/>
          <w:szCs w:val="24"/>
        </w:rPr>
        <w:t>&amp; Κίνησης Κινητών Επικοινωνιών»</w:t>
      </w:r>
      <w:r w:rsidR="00EF299B" w:rsidRPr="00582328">
        <w:rPr>
          <w:sz w:val="24"/>
          <w:szCs w:val="24"/>
        </w:rPr>
        <w:t>.</w:t>
      </w:r>
      <w:r w:rsidR="003631A5" w:rsidRPr="00582328">
        <w:rPr>
          <w:sz w:val="24"/>
          <w:szCs w:val="24"/>
        </w:rPr>
        <w:t xml:space="preserve"> </w:t>
      </w:r>
      <w:r w:rsidR="001C2673">
        <w:rPr>
          <w:sz w:val="24"/>
          <w:szCs w:val="24"/>
        </w:rPr>
        <w:t>Τα μεγέθη μεταξύ των δυο ερωτηματολογίων δεν είναι απαραίτητο να ταυτίζονται, αλλά μεγάλες διαφορές θα πρέπει να μπορούν να εξηγηθούν.</w:t>
      </w:r>
    </w:p>
    <w:p w:rsidR="00E74A2C"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δεδομένων κινητής τηλεφωνίας: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λιανικές υπηρεσίες δεδομένων κινητής τηλεφωνίας (</w:t>
      </w:r>
      <w:r w:rsidRPr="00582328">
        <w:rPr>
          <w:sz w:val="24"/>
          <w:szCs w:val="24"/>
          <w:lang w:val="en-US"/>
        </w:rPr>
        <w:t>SMS</w:t>
      </w:r>
      <w:r w:rsidR="00AF1387">
        <w:rPr>
          <w:sz w:val="24"/>
          <w:szCs w:val="24"/>
        </w:rPr>
        <w:t xml:space="preserve">, </w:t>
      </w:r>
      <w:r w:rsidRPr="00582328">
        <w:rPr>
          <w:sz w:val="24"/>
          <w:szCs w:val="24"/>
          <w:lang w:val="en-US"/>
        </w:rPr>
        <w:t>MMS</w:t>
      </w:r>
      <w:r w:rsidR="00AF1387">
        <w:rPr>
          <w:sz w:val="24"/>
          <w:szCs w:val="24"/>
        </w:rPr>
        <w:t xml:space="preserve">, </w:t>
      </w:r>
      <w:r w:rsidR="00AF1387">
        <w:rPr>
          <w:sz w:val="24"/>
          <w:szCs w:val="24"/>
          <w:lang w:val="en-US"/>
        </w:rPr>
        <w:t>mobile</w:t>
      </w:r>
      <w:r w:rsidR="00AF1387" w:rsidRPr="00582328">
        <w:rPr>
          <w:sz w:val="24"/>
          <w:szCs w:val="24"/>
        </w:rPr>
        <w:t xml:space="preserve"> </w:t>
      </w:r>
      <w:r w:rsidR="00AF1387">
        <w:rPr>
          <w:sz w:val="24"/>
          <w:szCs w:val="24"/>
          <w:lang w:val="en-US"/>
        </w:rPr>
        <w:t>data</w:t>
      </w:r>
      <w:r w:rsidR="00AF1387">
        <w:rPr>
          <w:sz w:val="24"/>
          <w:szCs w:val="24"/>
        </w:rPr>
        <w:t xml:space="preserve">, </w:t>
      </w:r>
      <w:r w:rsidRPr="00582328">
        <w:rPr>
          <w:sz w:val="24"/>
          <w:szCs w:val="24"/>
        </w:rPr>
        <w:t xml:space="preserve">), όπως αυτά αναλύονται στο «Ερωτηματολόγιο Εσόδων &amp; Κίνησης Κινητών Επικοινωνιών. </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Λιανικής: </w:t>
      </w:r>
    </w:p>
    <w:p w:rsidR="003631A5" w:rsidRPr="00582328" w:rsidRDefault="003631A5" w:rsidP="003631A5">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λιανικών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24447D" w:rsidRPr="00CE3023" w:rsidRDefault="00C44228"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Υπηρεσίες διασύνδεσης κινητής</w:t>
      </w:r>
      <w:r w:rsidR="00B14617" w:rsidRPr="00CE3023">
        <w:rPr>
          <w:bCs/>
          <w:sz w:val="24"/>
          <w:szCs w:val="24"/>
          <w:u w:val="single"/>
        </w:rPr>
        <w:t xml:space="preserve">: </w:t>
      </w:r>
    </w:p>
    <w:p w:rsidR="008C55FF" w:rsidRPr="00582328" w:rsidRDefault="008C55FF"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υπηρεσίες διασύνδεσης κινητής (τερματισμός κλήσεων</w:t>
      </w:r>
      <w:r w:rsidR="00C44228" w:rsidRPr="00582328">
        <w:rPr>
          <w:sz w:val="24"/>
          <w:szCs w:val="24"/>
        </w:rPr>
        <w:t>, διασύνδεση μη γεωγραφικών αριθμών, διεθνής εισερχόμενη κίνηση), όπως αυτά αναλύονται στο αντίστοιχο ερωτηματολόγιο</w:t>
      </w:r>
      <w:r w:rsidRPr="00582328">
        <w:rPr>
          <w:sz w:val="24"/>
          <w:szCs w:val="24"/>
        </w:rPr>
        <w:t xml:space="preserve"> «Ερωτηματολόγιο διασύνδεσης (</w:t>
      </w:r>
      <w:r w:rsidR="00C44228" w:rsidRPr="00582328">
        <w:rPr>
          <w:sz w:val="24"/>
          <w:szCs w:val="24"/>
        </w:rPr>
        <w:t>κινητής</w:t>
      </w:r>
      <w:r w:rsidRPr="00582328">
        <w:rPr>
          <w:sz w:val="24"/>
          <w:szCs w:val="24"/>
        </w:rPr>
        <w:t>)»</w:t>
      </w:r>
      <w:r w:rsidR="00C44228" w:rsidRPr="00582328">
        <w:rPr>
          <w:sz w:val="24"/>
          <w:szCs w:val="24"/>
        </w:rPr>
        <w:t>.</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διεθνούς </w:t>
      </w:r>
      <w:proofErr w:type="spellStart"/>
      <w:r w:rsidRPr="00582328">
        <w:rPr>
          <w:bCs/>
          <w:sz w:val="24"/>
          <w:szCs w:val="24"/>
          <w:u w:val="single"/>
        </w:rPr>
        <w:t>περιαγωγής</w:t>
      </w:r>
      <w:proofErr w:type="spellEnd"/>
      <w:r w:rsidRPr="00582328">
        <w:rPr>
          <w:bCs/>
          <w:sz w:val="24"/>
          <w:szCs w:val="24"/>
          <w:u w:val="single"/>
        </w:rPr>
        <w:t xml:space="preserve"> (χονδρικής): </w:t>
      </w:r>
    </w:p>
    <w:p w:rsidR="005C5E49" w:rsidRPr="00582328" w:rsidRDefault="005C5E49" w:rsidP="005C5E49">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την παροχή χονδρικών υπηρεσιών διεθνούς </w:t>
      </w:r>
      <w:proofErr w:type="spellStart"/>
      <w:r w:rsidRPr="00582328">
        <w:rPr>
          <w:sz w:val="24"/>
          <w:szCs w:val="24"/>
        </w:rPr>
        <w:t>περιαγωγής</w:t>
      </w:r>
      <w:proofErr w:type="spellEnd"/>
      <w:r w:rsidRPr="00582328">
        <w:rPr>
          <w:sz w:val="24"/>
          <w:szCs w:val="24"/>
        </w:rPr>
        <w:t xml:space="preserve"> (</w:t>
      </w:r>
      <w:r w:rsidRPr="00582328">
        <w:rPr>
          <w:sz w:val="24"/>
          <w:szCs w:val="24"/>
          <w:lang w:val="en-US"/>
        </w:rPr>
        <w:t>roaming</w:t>
      </w:r>
      <w:r w:rsidRPr="00582328">
        <w:rPr>
          <w:sz w:val="24"/>
          <w:szCs w:val="24"/>
        </w:rPr>
        <w:t xml:space="preserve"> </w:t>
      </w:r>
      <w:r w:rsidRPr="00582328">
        <w:rPr>
          <w:sz w:val="24"/>
          <w:szCs w:val="24"/>
          <w:lang w:val="en-US"/>
        </w:rPr>
        <w:t>in</w:t>
      </w:r>
      <w:r w:rsidRPr="00582328">
        <w:rPr>
          <w:sz w:val="24"/>
          <w:szCs w:val="24"/>
        </w:rPr>
        <w:t xml:space="preserve">). </w:t>
      </w:r>
    </w:p>
    <w:p w:rsidR="005C5E49" w:rsidRPr="00582328" w:rsidRDefault="005C5E49"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 xml:space="preserve">Υπηρεσίες εθνικής </w:t>
      </w:r>
      <w:proofErr w:type="spellStart"/>
      <w:r w:rsidRPr="00582328">
        <w:rPr>
          <w:bCs/>
          <w:sz w:val="24"/>
          <w:szCs w:val="24"/>
          <w:u w:val="single"/>
        </w:rPr>
        <w:t>περιαγωγής</w:t>
      </w:r>
      <w:proofErr w:type="spellEnd"/>
      <w:r w:rsidRPr="00582328">
        <w:rPr>
          <w:bCs/>
          <w:sz w:val="24"/>
          <w:szCs w:val="24"/>
          <w:u w:val="single"/>
        </w:rPr>
        <w:t xml:space="preserve">: </w:t>
      </w:r>
    </w:p>
    <w:p w:rsidR="005C5E49" w:rsidRPr="00582328" w:rsidRDefault="005C5E49" w:rsidP="005C5E49">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w:t>
      </w:r>
      <w:r w:rsidR="00A7029B" w:rsidRPr="00582328">
        <w:rPr>
          <w:sz w:val="24"/>
          <w:szCs w:val="24"/>
        </w:rPr>
        <w:t xml:space="preserve">ν υπηρεσιών εθνικής </w:t>
      </w:r>
      <w:proofErr w:type="spellStart"/>
      <w:r w:rsidR="00A7029B" w:rsidRPr="00582328">
        <w:rPr>
          <w:sz w:val="24"/>
          <w:szCs w:val="24"/>
        </w:rPr>
        <w:t>περιαγωγής</w:t>
      </w:r>
      <w:proofErr w:type="spellEnd"/>
      <w:r w:rsidR="00A7029B" w:rsidRPr="00582328">
        <w:rPr>
          <w:sz w:val="24"/>
          <w:szCs w:val="24"/>
        </w:rPr>
        <w:t>.</w:t>
      </w:r>
    </w:p>
    <w:p w:rsidR="00CE3023" w:rsidRPr="00CE3023" w:rsidRDefault="00CE3023"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Υπηρεσίες </w:t>
      </w:r>
      <w:proofErr w:type="spellStart"/>
      <w:r w:rsidRPr="00CE3023">
        <w:rPr>
          <w:bCs/>
          <w:sz w:val="24"/>
          <w:szCs w:val="24"/>
          <w:u w:val="single"/>
        </w:rPr>
        <w:t>πολυμεσικής</w:t>
      </w:r>
      <w:proofErr w:type="spellEnd"/>
      <w:r w:rsidRPr="00CE3023">
        <w:rPr>
          <w:bCs/>
          <w:sz w:val="24"/>
          <w:szCs w:val="24"/>
          <w:u w:val="single"/>
        </w:rPr>
        <w:t xml:space="preserve"> πληροφόρησης: </w:t>
      </w:r>
    </w:p>
    <w:p w:rsidR="00CE3023" w:rsidRPr="00582328" w:rsidRDefault="00CE3023" w:rsidP="00CE3023">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υπηρεσίες </w:t>
      </w:r>
      <w:proofErr w:type="spellStart"/>
      <w:r w:rsidRPr="00582328">
        <w:rPr>
          <w:sz w:val="24"/>
          <w:szCs w:val="24"/>
        </w:rPr>
        <w:t>πολυμεσικής</w:t>
      </w:r>
      <w:proofErr w:type="spellEnd"/>
      <w:r w:rsidRPr="00582328">
        <w:rPr>
          <w:sz w:val="24"/>
          <w:szCs w:val="24"/>
        </w:rPr>
        <w:t xml:space="preserve"> πληροφόρησης και υπηρεσίες καταλόγου, όπως αυτό αναλύεται στο «Υπηρεσίες </w:t>
      </w:r>
      <w:proofErr w:type="spellStart"/>
      <w:r w:rsidRPr="00582328">
        <w:rPr>
          <w:sz w:val="24"/>
          <w:szCs w:val="24"/>
        </w:rPr>
        <w:t>Πολυμεσικής</w:t>
      </w:r>
      <w:proofErr w:type="spellEnd"/>
      <w:r w:rsidRPr="00582328">
        <w:rPr>
          <w:sz w:val="24"/>
          <w:szCs w:val="24"/>
        </w:rPr>
        <w:t xml:space="preserve"> Πληροφόρησης &amp; Καταλόγου», αναλυόμενο σε έσοδο του </w:t>
      </w:r>
      <w:proofErr w:type="spellStart"/>
      <w:r w:rsidRPr="00582328">
        <w:rPr>
          <w:sz w:val="24"/>
          <w:szCs w:val="24"/>
        </w:rPr>
        <w:t>παρόχου</w:t>
      </w:r>
      <w:proofErr w:type="spellEnd"/>
      <w:r w:rsidRPr="00582328">
        <w:rPr>
          <w:sz w:val="24"/>
          <w:szCs w:val="24"/>
        </w:rPr>
        <w:t xml:space="preserve"> δικτύου και σε έσοδο του </w:t>
      </w:r>
      <w:proofErr w:type="spellStart"/>
      <w:r w:rsidRPr="00582328">
        <w:rPr>
          <w:sz w:val="24"/>
          <w:szCs w:val="24"/>
        </w:rPr>
        <w:t>παρόχου</w:t>
      </w:r>
      <w:proofErr w:type="spellEnd"/>
      <w:r w:rsidRPr="00582328">
        <w:rPr>
          <w:sz w:val="24"/>
          <w:szCs w:val="24"/>
        </w:rPr>
        <w:t xml:space="preserve"> υπηρεσίας. </w:t>
      </w:r>
      <w:r w:rsidR="001C2673">
        <w:rPr>
          <w:sz w:val="24"/>
          <w:szCs w:val="24"/>
        </w:rPr>
        <w:t xml:space="preserve">Τα μεγέθη μεταξύ των δυο </w:t>
      </w:r>
      <w:r w:rsidR="001C2673">
        <w:rPr>
          <w:sz w:val="24"/>
          <w:szCs w:val="24"/>
        </w:rPr>
        <w:lastRenderedPageBreak/>
        <w:t>ερωτηματολογίων δεν είναι απαραίτητο να ταυτίζονται, αλλά μεγάλες διαφορές θα πρέπει να μπορούν να εξηγηθούν.</w:t>
      </w:r>
    </w:p>
    <w:p w:rsidR="0024447D" w:rsidRPr="00CE3023" w:rsidRDefault="00B14617" w:rsidP="00B87B01">
      <w:pPr>
        <w:pStyle w:val="a4"/>
        <w:keepNext/>
        <w:numPr>
          <w:ilvl w:val="0"/>
          <w:numId w:val="4"/>
        </w:numPr>
        <w:spacing w:after="120" w:line="264" w:lineRule="auto"/>
        <w:ind w:left="357" w:hanging="357"/>
        <w:contextualSpacing w:val="0"/>
        <w:jc w:val="both"/>
        <w:rPr>
          <w:bCs/>
          <w:sz w:val="24"/>
          <w:szCs w:val="24"/>
          <w:u w:val="single"/>
        </w:rPr>
      </w:pPr>
      <w:r w:rsidRPr="00CE3023">
        <w:rPr>
          <w:bCs/>
          <w:sz w:val="24"/>
          <w:szCs w:val="24"/>
          <w:u w:val="single"/>
        </w:rPr>
        <w:t xml:space="preserve">Λοιπές Υπηρεσίες Χονδρικής: </w:t>
      </w:r>
    </w:p>
    <w:p w:rsidR="00C44228" w:rsidRPr="00582328" w:rsidRDefault="00C44228" w:rsidP="00D955E1">
      <w:pPr>
        <w:spacing w:after="120" w:line="264" w:lineRule="auto"/>
        <w:ind w:left="360"/>
        <w:jc w:val="both"/>
        <w:rPr>
          <w:sz w:val="24"/>
          <w:szCs w:val="24"/>
        </w:rPr>
      </w:pPr>
      <w:r w:rsidRPr="00582328">
        <w:rPr>
          <w:sz w:val="24"/>
          <w:szCs w:val="24"/>
        </w:rPr>
        <w:t>Στο κελί αυτό θα πρέπει να καταγραφούν τα συνολικά έσοδα από την παροχή χονδρικών υπηρεσιών ηλεκτρονικών επικοινωνιών μέσα από κινητά δίκτυα, που δεν εντάσσονται σε κάποια από τις προηγούμενες κατηγορίες. Στο σχόλιο καλείστε να αναφέρετε ποιες είναι αυτές οι υπηρεσίες.</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 xml:space="preserve">Δορυφορικά δίκτυα και υπηρεσίες: </w:t>
      </w:r>
      <w:r w:rsidR="00C44228" w:rsidRPr="00582328">
        <w:rPr>
          <w:bCs/>
          <w:sz w:val="24"/>
          <w:szCs w:val="24"/>
          <w:u w:val="single"/>
        </w:rPr>
        <w:t xml:space="preserve">Υπηρεσίες Λιανικής: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λιανικής, ηλεκτρονικών επικοινωνιών, που παρέχονται μέσα από δορυφορικά δίκτυα. </w:t>
      </w:r>
    </w:p>
    <w:p w:rsidR="00C44228" w:rsidRPr="00582328" w:rsidRDefault="00582328" w:rsidP="00B87B01">
      <w:pPr>
        <w:pStyle w:val="a4"/>
        <w:keepNext/>
        <w:numPr>
          <w:ilvl w:val="0"/>
          <w:numId w:val="4"/>
        </w:numPr>
        <w:spacing w:after="120" w:line="264" w:lineRule="auto"/>
        <w:ind w:left="357" w:hanging="357"/>
        <w:contextualSpacing w:val="0"/>
        <w:jc w:val="both"/>
        <w:rPr>
          <w:bCs/>
          <w:sz w:val="24"/>
          <w:szCs w:val="24"/>
          <w:u w:val="single"/>
        </w:rPr>
      </w:pPr>
      <w:r>
        <w:rPr>
          <w:bCs/>
          <w:sz w:val="24"/>
          <w:szCs w:val="24"/>
          <w:u w:val="single"/>
        </w:rPr>
        <w:t>Δορυφορικά δίκτυα και υπηρεσίες</w:t>
      </w:r>
      <w:r w:rsidR="00C44228" w:rsidRPr="00582328">
        <w:rPr>
          <w:bCs/>
          <w:sz w:val="24"/>
          <w:szCs w:val="24"/>
          <w:u w:val="single"/>
        </w:rPr>
        <w:t xml:space="preserve"> Χονδρικής: </w:t>
      </w:r>
    </w:p>
    <w:p w:rsidR="00C44228" w:rsidRPr="00582328" w:rsidRDefault="00C44228" w:rsidP="00C44228">
      <w:pPr>
        <w:spacing w:after="120" w:line="264" w:lineRule="auto"/>
        <w:ind w:left="360"/>
        <w:jc w:val="both"/>
        <w:rPr>
          <w:sz w:val="24"/>
          <w:szCs w:val="24"/>
        </w:rPr>
      </w:pPr>
      <w:r w:rsidRPr="00582328">
        <w:rPr>
          <w:sz w:val="24"/>
          <w:szCs w:val="24"/>
        </w:rPr>
        <w:t xml:space="preserve">Στο κελί αυτό θα πρέπει να καταγραφούν τα συνολικά έσοδα από κάθε είδους υπηρεσίες χονδρικής, ηλεκτρονικών επικοινωνιών, που παρέχονται μέσα από δορυφορικά δίκτυα. </w:t>
      </w:r>
    </w:p>
    <w:p w:rsidR="0024447D" w:rsidRPr="00582328" w:rsidRDefault="00097105" w:rsidP="00B87B01">
      <w:pPr>
        <w:pStyle w:val="a4"/>
        <w:keepNext/>
        <w:numPr>
          <w:ilvl w:val="0"/>
          <w:numId w:val="4"/>
        </w:numPr>
        <w:spacing w:after="120" w:line="264" w:lineRule="auto"/>
        <w:ind w:left="357" w:hanging="357"/>
        <w:contextualSpacing w:val="0"/>
        <w:jc w:val="both"/>
        <w:rPr>
          <w:bCs/>
          <w:sz w:val="24"/>
          <w:szCs w:val="24"/>
          <w:u w:val="single"/>
        </w:rPr>
      </w:pPr>
      <w:r w:rsidRPr="00582328">
        <w:rPr>
          <w:bCs/>
          <w:sz w:val="24"/>
          <w:szCs w:val="24"/>
          <w:u w:val="single"/>
        </w:rPr>
        <w:t>Ότι δεν μπορεί να συμπεριληφθεί στα προηγούμενα</w:t>
      </w:r>
      <w:r w:rsidR="00B14617" w:rsidRPr="00582328">
        <w:rPr>
          <w:bCs/>
          <w:sz w:val="24"/>
          <w:szCs w:val="24"/>
          <w:u w:val="single"/>
        </w:rPr>
        <w:t xml:space="preserve">: </w:t>
      </w:r>
    </w:p>
    <w:p w:rsidR="00582328" w:rsidRPr="00582328" w:rsidRDefault="00C44228" w:rsidP="00B87B01">
      <w:pPr>
        <w:pStyle w:val="a4"/>
        <w:numPr>
          <w:ilvl w:val="0"/>
          <w:numId w:val="5"/>
        </w:numPr>
        <w:spacing w:after="120" w:line="264" w:lineRule="auto"/>
        <w:ind w:left="709"/>
        <w:contextualSpacing w:val="0"/>
        <w:jc w:val="both"/>
        <w:rPr>
          <w:bCs/>
          <w:sz w:val="24"/>
          <w:szCs w:val="24"/>
          <w:u w:val="single"/>
        </w:rPr>
      </w:pPr>
      <w:r w:rsidRPr="00582328">
        <w:rPr>
          <w:bCs/>
          <w:sz w:val="24"/>
          <w:szCs w:val="24"/>
          <w:u w:val="single"/>
        </w:rPr>
        <w:t xml:space="preserve">Υπηρεσίες Λιανικής: </w:t>
      </w:r>
      <w:r w:rsidR="00582328" w:rsidRPr="00582328">
        <w:rPr>
          <w:bCs/>
          <w:sz w:val="24"/>
          <w:szCs w:val="24"/>
          <w:u w:val="single"/>
        </w:rPr>
        <w:t xml:space="preserve"> </w:t>
      </w:r>
      <w:r w:rsidRPr="00582328">
        <w:rPr>
          <w:sz w:val="24"/>
          <w:szCs w:val="24"/>
        </w:rPr>
        <w:t>Στο κελί αυτό θα πρέπει να καταγραφούν τα συνολικά έσοδα από κάθε είδους υπηρεσίες λιανικής, ηλεκτρονικών επικοινωνιών, που δεν μπορούν να ενταχθούν στις άλλες κατηγορίες (σταθερά, κινητά, δορυφορικά δίκτυα).</w:t>
      </w:r>
    </w:p>
    <w:p w:rsidR="00B14617" w:rsidRPr="002C7CF6" w:rsidRDefault="00C44228" w:rsidP="0050170E">
      <w:pPr>
        <w:pStyle w:val="a4"/>
        <w:numPr>
          <w:ilvl w:val="0"/>
          <w:numId w:val="5"/>
        </w:numPr>
        <w:spacing w:after="120" w:line="264" w:lineRule="auto"/>
        <w:ind w:left="709"/>
        <w:contextualSpacing w:val="0"/>
        <w:jc w:val="both"/>
        <w:rPr>
          <w:sz w:val="24"/>
          <w:szCs w:val="24"/>
        </w:rPr>
      </w:pPr>
      <w:r w:rsidRPr="00DE233C">
        <w:rPr>
          <w:bCs/>
          <w:sz w:val="24"/>
          <w:szCs w:val="24"/>
          <w:u w:val="single"/>
        </w:rPr>
        <w:t xml:space="preserve">Υπηρεσίες Χονδρικής: </w:t>
      </w:r>
      <w:r w:rsidR="00582328" w:rsidRPr="00DE233C">
        <w:rPr>
          <w:bCs/>
          <w:sz w:val="24"/>
          <w:szCs w:val="24"/>
          <w:u w:val="single"/>
        </w:rPr>
        <w:t xml:space="preserve"> </w:t>
      </w:r>
      <w:r w:rsidRPr="00DE233C">
        <w:rPr>
          <w:sz w:val="24"/>
          <w:szCs w:val="24"/>
        </w:rPr>
        <w:t>Στο κελί αυτό θα πρέπει να καταγραφούν τα συνολικά έσοδα από κάθε είδους υπηρεσίες χονδρικής, ηλεκτρονικών επικοινωνιών, που δεν μπορούν να ενταχθούν στις άλλες κατηγορίες (σταθερά, κινητά, δορυφορικά δίκτυα).</w:t>
      </w:r>
    </w:p>
    <w:sectPr w:rsidR="00B14617" w:rsidRPr="002C7CF6"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5E7" w:rsidRDefault="00FE25E7" w:rsidP="00D1754D">
      <w:pPr>
        <w:spacing w:after="0" w:line="240" w:lineRule="auto"/>
      </w:pPr>
      <w:r>
        <w:separator/>
      </w:r>
    </w:p>
  </w:endnote>
  <w:endnote w:type="continuationSeparator" w:id="0">
    <w:p w:rsidR="00FE25E7" w:rsidRDefault="00FE25E7" w:rsidP="00D175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03526"/>
      <w:docPartObj>
        <w:docPartGallery w:val="Page Numbers (Bottom of Page)"/>
        <w:docPartUnique/>
      </w:docPartObj>
    </w:sdtPr>
    <w:sdtEndPr>
      <w:rPr>
        <w:noProof/>
      </w:rPr>
    </w:sdtEndPr>
    <w:sdtContent>
      <w:p w:rsidR="003029EE" w:rsidRDefault="00F3200D">
        <w:pPr>
          <w:pStyle w:val="aa"/>
          <w:jc w:val="right"/>
        </w:pPr>
        <w:r>
          <w:fldChar w:fldCharType="begin"/>
        </w:r>
        <w:r w:rsidR="003B1609">
          <w:instrText xml:space="preserve"> PAGE   \* MERGEFORMAT </w:instrText>
        </w:r>
        <w:r>
          <w:fldChar w:fldCharType="separate"/>
        </w:r>
        <w:r w:rsidR="00373D79">
          <w:rPr>
            <w:noProof/>
          </w:rPr>
          <w:t>3</w:t>
        </w:r>
        <w:r>
          <w:rPr>
            <w:noProof/>
          </w:rPr>
          <w:fldChar w:fldCharType="end"/>
        </w:r>
      </w:p>
    </w:sdtContent>
  </w:sdt>
  <w:p w:rsidR="003029EE" w:rsidRDefault="003029E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5E7" w:rsidRDefault="00FE25E7" w:rsidP="00D1754D">
      <w:pPr>
        <w:spacing w:after="0" w:line="240" w:lineRule="auto"/>
      </w:pPr>
      <w:r>
        <w:separator/>
      </w:r>
    </w:p>
  </w:footnote>
  <w:footnote w:type="continuationSeparator" w:id="0">
    <w:p w:rsidR="00FE25E7" w:rsidRDefault="00FE25E7" w:rsidP="00D175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rsids>
    <w:rsidRoot w:val="00C52BEB"/>
    <w:rsid w:val="000070FC"/>
    <w:rsid w:val="00026CAD"/>
    <w:rsid w:val="00026DEC"/>
    <w:rsid w:val="0004078B"/>
    <w:rsid w:val="000421F4"/>
    <w:rsid w:val="0004744C"/>
    <w:rsid w:val="000635D5"/>
    <w:rsid w:val="0006562E"/>
    <w:rsid w:val="00065641"/>
    <w:rsid w:val="0007545E"/>
    <w:rsid w:val="00082D68"/>
    <w:rsid w:val="00097105"/>
    <w:rsid w:val="000A4BEF"/>
    <w:rsid w:val="000A7C2F"/>
    <w:rsid w:val="000C1F69"/>
    <w:rsid w:val="000D289D"/>
    <w:rsid w:val="000E1C85"/>
    <w:rsid w:val="000E1F90"/>
    <w:rsid w:val="000E3C0C"/>
    <w:rsid w:val="000F3F70"/>
    <w:rsid w:val="00105B4D"/>
    <w:rsid w:val="00122F26"/>
    <w:rsid w:val="00142226"/>
    <w:rsid w:val="00144525"/>
    <w:rsid w:val="00154E7F"/>
    <w:rsid w:val="00157EE7"/>
    <w:rsid w:val="0016445F"/>
    <w:rsid w:val="001676F4"/>
    <w:rsid w:val="00186D10"/>
    <w:rsid w:val="00191BB0"/>
    <w:rsid w:val="00197AA6"/>
    <w:rsid w:val="00197BCA"/>
    <w:rsid w:val="001A09ED"/>
    <w:rsid w:val="001A210E"/>
    <w:rsid w:val="001A32C1"/>
    <w:rsid w:val="001A5089"/>
    <w:rsid w:val="001A64DF"/>
    <w:rsid w:val="001B2EAD"/>
    <w:rsid w:val="001C2673"/>
    <w:rsid w:val="001C3D31"/>
    <w:rsid w:val="001C48B9"/>
    <w:rsid w:val="001C4EE8"/>
    <w:rsid w:val="001C5B9C"/>
    <w:rsid w:val="001D0718"/>
    <w:rsid w:val="001E4FA6"/>
    <w:rsid w:val="001E6DAD"/>
    <w:rsid w:val="001E7F06"/>
    <w:rsid w:val="001F297E"/>
    <w:rsid w:val="001F4301"/>
    <w:rsid w:val="001F634C"/>
    <w:rsid w:val="002016BE"/>
    <w:rsid w:val="002027B1"/>
    <w:rsid w:val="00203DC2"/>
    <w:rsid w:val="002059BC"/>
    <w:rsid w:val="002302EA"/>
    <w:rsid w:val="00230474"/>
    <w:rsid w:val="00230EC8"/>
    <w:rsid w:val="00236183"/>
    <w:rsid w:val="002438DE"/>
    <w:rsid w:val="0024447D"/>
    <w:rsid w:val="002613BD"/>
    <w:rsid w:val="002622C4"/>
    <w:rsid w:val="002669AE"/>
    <w:rsid w:val="002671F1"/>
    <w:rsid w:val="00270806"/>
    <w:rsid w:val="00270965"/>
    <w:rsid w:val="0028187D"/>
    <w:rsid w:val="002A0037"/>
    <w:rsid w:val="002A45BF"/>
    <w:rsid w:val="002A4639"/>
    <w:rsid w:val="002B5AEE"/>
    <w:rsid w:val="002B62F3"/>
    <w:rsid w:val="002C19FA"/>
    <w:rsid w:val="002C2229"/>
    <w:rsid w:val="002C7CF6"/>
    <w:rsid w:val="002D337D"/>
    <w:rsid w:val="002E49C3"/>
    <w:rsid w:val="002E6FA0"/>
    <w:rsid w:val="003029EE"/>
    <w:rsid w:val="00315A50"/>
    <w:rsid w:val="00315CD7"/>
    <w:rsid w:val="0032089D"/>
    <w:rsid w:val="00330B65"/>
    <w:rsid w:val="00343294"/>
    <w:rsid w:val="00354090"/>
    <w:rsid w:val="00354612"/>
    <w:rsid w:val="00354EE6"/>
    <w:rsid w:val="003631A5"/>
    <w:rsid w:val="003634DD"/>
    <w:rsid w:val="00373D79"/>
    <w:rsid w:val="00391F28"/>
    <w:rsid w:val="003A0E4C"/>
    <w:rsid w:val="003A255E"/>
    <w:rsid w:val="003A5DCB"/>
    <w:rsid w:val="003B1609"/>
    <w:rsid w:val="003B6D0E"/>
    <w:rsid w:val="003C55D3"/>
    <w:rsid w:val="003E7B02"/>
    <w:rsid w:val="00412863"/>
    <w:rsid w:val="0041753F"/>
    <w:rsid w:val="004365D3"/>
    <w:rsid w:val="004478C9"/>
    <w:rsid w:val="00451189"/>
    <w:rsid w:val="00470AA7"/>
    <w:rsid w:val="0049141A"/>
    <w:rsid w:val="00491688"/>
    <w:rsid w:val="004A3F69"/>
    <w:rsid w:val="004C7E86"/>
    <w:rsid w:val="004E77C1"/>
    <w:rsid w:val="004E7D36"/>
    <w:rsid w:val="0050170E"/>
    <w:rsid w:val="0050189E"/>
    <w:rsid w:val="005101B6"/>
    <w:rsid w:val="005108EF"/>
    <w:rsid w:val="0051533C"/>
    <w:rsid w:val="0052051B"/>
    <w:rsid w:val="00523CE0"/>
    <w:rsid w:val="00527FE4"/>
    <w:rsid w:val="00543591"/>
    <w:rsid w:val="005512A6"/>
    <w:rsid w:val="0057102A"/>
    <w:rsid w:val="0058019E"/>
    <w:rsid w:val="0058137D"/>
    <w:rsid w:val="00581BD1"/>
    <w:rsid w:val="00581FE6"/>
    <w:rsid w:val="00582328"/>
    <w:rsid w:val="0059170B"/>
    <w:rsid w:val="005A2356"/>
    <w:rsid w:val="005A5413"/>
    <w:rsid w:val="005C0954"/>
    <w:rsid w:val="005C25FC"/>
    <w:rsid w:val="005C5E49"/>
    <w:rsid w:val="005D1762"/>
    <w:rsid w:val="005D6542"/>
    <w:rsid w:val="005E5227"/>
    <w:rsid w:val="005F21E8"/>
    <w:rsid w:val="005F2BAC"/>
    <w:rsid w:val="005F3B63"/>
    <w:rsid w:val="00600C92"/>
    <w:rsid w:val="00600DA8"/>
    <w:rsid w:val="0060659C"/>
    <w:rsid w:val="00632BF7"/>
    <w:rsid w:val="00642BD3"/>
    <w:rsid w:val="00647C58"/>
    <w:rsid w:val="0066200F"/>
    <w:rsid w:val="0067114E"/>
    <w:rsid w:val="00673286"/>
    <w:rsid w:val="0068648B"/>
    <w:rsid w:val="0069366F"/>
    <w:rsid w:val="0069384B"/>
    <w:rsid w:val="006962CF"/>
    <w:rsid w:val="00697046"/>
    <w:rsid w:val="006A2D40"/>
    <w:rsid w:val="006A72DC"/>
    <w:rsid w:val="006B1E3C"/>
    <w:rsid w:val="006B2126"/>
    <w:rsid w:val="006B6D29"/>
    <w:rsid w:val="006C1536"/>
    <w:rsid w:val="006C16B8"/>
    <w:rsid w:val="006C6586"/>
    <w:rsid w:val="006D0065"/>
    <w:rsid w:val="006D5EC7"/>
    <w:rsid w:val="006E12D1"/>
    <w:rsid w:val="00710585"/>
    <w:rsid w:val="0071084C"/>
    <w:rsid w:val="007122F2"/>
    <w:rsid w:val="00723549"/>
    <w:rsid w:val="00750560"/>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7FD5"/>
    <w:rsid w:val="00845282"/>
    <w:rsid w:val="00853874"/>
    <w:rsid w:val="008550BA"/>
    <w:rsid w:val="00863F14"/>
    <w:rsid w:val="00866ABA"/>
    <w:rsid w:val="008822FB"/>
    <w:rsid w:val="00885CE5"/>
    <w:rsid w:val="008916E9"/>
    <w:rsid w:val="008A0612"/>
    <w:rsid w:val="008B466D"/>
    <w:rsid w:val="008C07F2"/>
    <w:rsid w:val="008C4134"/>
    <w:rsid w:val="008C55FF"/>
    <w:rsid w:val="008F2168"/>
    <w:rsid w:val="008F5CF6"/>
    <w:rsid w:val="00914D63"/>
    <w:rsid w:val="00936DB1"/>
    <w:rsid w:val="0094614D"/>
    <w:rsid w:val="009462DC"/>
    <w:rsid w:val="00947679"/>
    <w:rsid w:val="009500BB"/>
    <w:rsid w:val="00966F80"/>
    <w:rsid w:val="00967E32"/>
    <w:rsid w:val="00972856"/>
    <w:rsid w:val="00982D74"/>
    <w:rsid w:val="009836C1"/>
    <w:rsid w:val="009911E3"/>
    <w:rsid w:val="009A29D3"/>
    <w:rsid w:val="009A4FD3"/>
    <w:rsid w:val="009A67E6"/>
    <w:rsid w:val="009B274B"/>
    <w:rsid w:val="009D487C"/>
    <w:rsid w:val="009F15EE"/>
    <w:rsid w:val="009F38C7"/>
    <w:rsid w:val="009F40C9"/>
    <w:rsid w:val="00A0397E"/>
    <w:rsid w:val="00A42A80"/>
    <w:rsid w:val="00A446DC"/>
    <w:rsid w:val="00A45CDF"/>
    <w:rsid w:val="00A57B90"/>
    <w:rsid w:val="00A60914"/>
    <w:rsid w:val="00A64A22"/>
    <w:rsid w:val="00A7029B"/>
    <w:rsid w:val="00A70AB0"/>
    <w:rsid w:val="00A91477"/>
    <w:rsid w:val="00A924C6"/>
    <w:rsid w:val="00A93645"/>
    <w:rsid w:val="00AA08DB"/>
    <w:rsid w:val="00AA47E5"/>
    <w:rsid w:val="00AA4FED"/>
    <w:rsid w:val="00AB0780"/>
    <w:rsid w:val="00AB1058"/>
    <w:rsid w:val="00AB27A0"/>
    <w:rsid w:val="00AB3B7D"/>
    <w:rsid w:val="00AB41B0"/>
    <w:rsid w:val="00AB5E5E"/>
    <w:rsid w:val="00AC1076"/>
    <w:rsid w:val="00AC2DA3"/>
    <w:rsid w:val="00AC3067"/>
    <w:rsid w:val="00AD5F6A"/>
    <w:rsid w:val="00AE5336"/>
    <w:rsid w:val="00AE7562"/>
    <w:rsid w:val="00AF1387"/>
    <w:rsid w:val="00B00CA1"/>
    <w:rsid w:val="00B1381A"/>
    <w:rsid w:val="00B143F4"/>
    <w:rsid w:val="00B14617"/>
    <w:rsid w:val="00B149A9"/>
    <w:rsid w:val="00B159A0"/>
    <w:rsid w:val="00B16082"/>
    <w:rsid w:val="00B20F53"/>
    <w:rsid w:val="00B233F3"/>
    <w:rsid w:val="00B255CC"/>
    <w:rsid w:val="00B319E6"/>
    <w:rsid w:val="00B4594F"/>
    <w:rsid w:val="00B562EE"/>
    <w:rsid w:val="00B87B01"/>
    <w:rsid w:val="00BB1E43"/>
    <w:rsid w:val="00BB5F97"/>
    <w:rsid w:val="00BC3B33"/>
    <w:rsid w:val="00BC40EA"/>
    <w:rsid w:val="00BD18EA"/>
    <w:rsid w:val="00BE0394"/>
    <w:rsid w:val="00BE221C"/>
    <w:rsid w:val="00BF07E1"/>
    <w:rsid w:val="00C075F5"/>
    <w:rsid w:val="00C10E40"/>
    <w:rsid w:val="00C13CE4"/>
    <w:rsid w:val="00C1618E"/>
    <w:rsid w:val="00C24675"/>
    <w:rsid w:val="00C3131A"/>
    <w:rsid w:val="00C32132"/>
    <w:rsid w:val="00C340B3"/>
    <w:rsid w:val="00C41B36"/>
    <w:rsid w:val="00C44228"/>
    <w:rsid w:val="00C52BEB"/>
    <w:rsid w:val="00C62496"/>
    <w:rsid w:val="00C7657A"/>
    <w:rsid w:val="00C85E3B"/>
    <w:rsid w:val="00C867EC"/>
    <w:rsid w:val="00C944CE"/>
    <w:rsid w:val="00CA394B"/>
    <w:rsid w:val="00CA4694"/>
    <w:rsid w:val="00CC5CD0"/>
    <w:rsid w:val="00CD2D48"/>
    <w:rsid w:val="00CD5CF5"/>
    <w:rsid w:val="00CE3023"/>
    <w:rsid w:val="00CE35DF"/>
    <w:rsid w:val="00CF4AFD"/>
    <w:rsid w:val="00D03B14"/>
    <w:rsid w:val="00D041D4"/>
    <w:rsid w:val="00D06830"/>
    <w:rsid w:val="00D14439"/>
    <w:rsid w:val="00D1754D"/>
    <w:rsid w:val="00D31999"/>
    <w:rsid w:val="00D615F8"/>
    <w:rsid w:val="00D61838"/>
    <w:rsid w:val="00D70647"/>
    <w:rsid w:val="00D71154"/>
    <w:rsid w:val="00D77359"/>
    <w:rsid w:val="00D7782E"/>
    <w:rsid w:val="00D92F45"/>
    <w:rsid w:val="00D955E1"/>
    <w:rsid w:val="00DA1680"/>
    <w:rsid w:val="00DB493E"/>
    <w:rsid w:val="00DB4E8B"/>
    <w:rsid w:val="00DC22C0"/>
    <w:rsid w:val="00DC5366"/>
    <w:rsid w:val="00DD71F1"/>
    <w:rsid w:val="00DE1A2D"/>
    <w:rsid w:val="00DE233C"/>
    <w:rsid w:val="00DE2620"/>
    <w:rsid w:val="00DF125C"/>
    <w:rsid w:val="00DF410C"/>
    <w:rsid w:val="00DF75FE"/>
    <w:rsid w:val="00E015D8"/>
    <w:rsid w:val="00E0184B"/>
    <w:rsid w:val="00E05B91"/>
    <w:rsid w:val="00E10B4A"/>
    <w:rsid w:val="00E17C06"/>
    <w:rsid w:val="00E266FB"/>
    <w:rsid w:val="00E35F76"/>
    <w:rsid w:val="00E40953"/>
    <w:rsid w:val="00E569DF"/>
    <w:rsid w:val="00E640F1"/>
    <w:rsid w:val="00E663E1"/>
    <w:rsid w:val="00E74A2C"/>
    <w:rsid w:val="00E83D04"/>
    <w:rsid w:val="00E871D3"/>
    <w:rsid w:val="00EA403E"/>
    <w:rsid w:val="00EE5A14"/>
    <w:rsid w:val="00EF299B"/>
    <w:rsid w:val="00F011AB"/>
    <w:rsid w:val="00F116F2"/>
    <w:rsid w:val="00F11B06"/>
    <w:rsid w:val="00F15D20"/>
    <w:rsid w:val="00F17F06"/>
    <w:rsid w:val="00F22C5B"/>
    <w:rsid w:val="00F24F89"/>
    <w:rsid w:val="00F27A03"/>
    <w:rsid w:val="00F30613"/>
    <w:rsid w:val="00F3200D"/>
    <w:rsid w:val="00F34E52"/>
    <w:rsid w:val="00F37BAA"/>
    <w:rsid w:val="00F439F4"/>
    <w:rsid w:val="00F4530D"/>
    <w:rsid w:val="00F45B41"/>
    <w:rsid w:val="00F60FD5"/>
    <w:rsid w:val="00F6799B"/>
    <w:rsid w:val="00F73B77"/>
    <w:rsid w:val="00F87B78"/>
    <w:rsid w:val="00F942CD"/>
    <w:rsid w:val="00F94862"/>
    <w:rsid w:val="00F959D4"/>
    <w:rsid w:val="00F97D0B"/>
    <w:rsid w:val="00FA5CE2"/>
    <w:rsid w:val="00FB6A23"/>
    <w:rsid w:val="00FC2FCD"/>
    <w:rsid w:val="00FC648B"/>
    <w:rsid w:val="00FD028E"/>
    <w:rsid w:val="00FD3F78"/>
    <w:rsid w:val="00FE0945"/>
    <w:rsid w:val="00FE2006"/>
    <w:rsid w:val="00FE25E7"/>
    <w:rsid w:val="00FF45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DB73C-12BA-4904-B19C-76B13D4A0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1624</Words>
  <Characters>8771</Characters>
  <Application>Microsoft Office Word</Application>
  <DocSecurity>0</DocSecurity>
  <Lines>73</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mkaratzo</dc:creator>
  <cp:lastModifiedBy>rgiann</cp:lastModifiedBy>
  <cp:revision>2</cp:revision>
  <dcterms:created xsi:type="dcterms:W3CDTF">2017-09-28T08:31:00Z</dcterms:created>
  <dcterms:modified xsi:type="dcterms:W3CDTF">2017-09-28T08:31:00Z</dcterms:modified>
</cp:coreProperties>
</file>