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2F" w:rsidRPr="007629B9" w:rsidRDefault="001B272F" w:rsidP="001B272F">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810B80" w:rsidRPr="007629B9" w:rsidRDefault="00810B80" w:rsidP="00810B80">
      <w:pPr>
        <w:spacing w:before="120" w:after="120" w:line="276" w:lineRule="auto"/>
        <w:ind w:left="495"/>
        <w:jc w:val="both"/>
        <w:rPr>
          <w:rFonts w:ascii="Arial" w:hAnsi="Arial" w:cs="Arial"/>
          <w:b/>
        </w:rPr>
      </w:pPr>
      <w:r w:rsidRPr="007629B9">
        <w:rPr>
          <w:rFonts w:ascii="Arial" w:hAnsi="Arial" w:cs="Arial"/>
          <w:b/>
        </w:rPr>
        <w:t xml:space="preserve">Εθνική Δημόσια Διαβούλευση της ΕΕΤΤ για τον καθορισμό του τελικού σχεδίου μέτρων αναφορικά με τον καθορισμό μεθοδολογίας υπολογισμού των τιμών και τις τιμές των προϊόντων των αγορών: </w:t>
      </w:r>
    </w:p>
    <w:p w:rsidR="00810B80" w:rsidRPr="007629B9" w:rsidRDefault="00810B80" w:rsidP="00810B80">
      <w:pPr>
        <w:spacing w:before="120" w:after="120" w:line="276" w:lineRule="auto"/>
        <w:ind w:left="495"/>
        <w:jc w:val="both"/>
        <w:rPr>
          <w:rFonts w:ascii="Arial" w:hAnsi="Arial" w:cs="Arial"/>
          <w:b/>
        </w:rPr>
      </w:pPr>
      <w:r w:rsidRPr="007629B9">
        <w:rPr>
          <w:rFonts w:ascii="Arial" w:hAnsi="Arial" w:cs="Arial"/>
          <w:b/>
        </w:rPr>
        <w:t>•</w:t>
      </w:r>
      <w:r w:rsidRPr="007629B9">
        <w:rPr>
          <w:rFonts w:ascii="Arial" w:hAnsi="Arial" w:cs="Arial"/>
          <w:b/>
        </w:rPr>
        <w:tab/>
        <w:t xml:space="preserve">Τερματικών τμημάτων Μισθωμένων Γραμμών χονδρικής [ΑΓΟΡΑ 4 Σύστασης Ευρωπαϊκής Επιτροπής του 2014], </w:t>
      </w:r>
    </w:p>
    <w:p w:rsidR="00810B80" w:rsidRPr="007629B9" w:rsidRDefault="00810B80" w:rsidP="00810B80">
      <w:pPr>
        <w:spacing w:before="120" w:after="120" w:line="276" w:lineRule="auto"/>
        <w:ind w:left="495"/>
        <w:jc w:val="both"/>
        <w:rPr>
          <w:rFonts w:ascii="Arial" w:hAnsi="Arial" w:cs="Arial"/>
          <w:b/>
        </w:rPr>
      </w:pPr>
      <w:r w:rsidRPr="007629B9">
        <w:rPr>
          <w:rFonts w:ascii="Arial" w:hAnsi="Arial" w:cs="Arial"/>
          <w:b/>
        </w:rPr>
        <w:t>•</w:t>
      </w:r>
      <w:r w:rsidRPr="007629B9">
        <w:rPr>
          <w:rFonts w:ascii="Arial" w:hAnsi="Arial" w:cs="Arial"/>
          <w:b/>
        </w:rPr>
        <w:tab/>
      </w:r>
      <w:proofErr w:type="spellStart"/>
      <w:r w:rsidRPr="007629B9">
        <w:rPr>
          <w:rFonts w:ascii="Arial" w:hAnsi="Arial" w:cs="Arial"/>
          <w:b/>
        </w:rPr>
        <w:t>Ζευκτικών</w:t>
      </w:r>
      <w:proofErr w:type="spellEnd"/>
      <w:r w:rsidRPr="007629B9">
        <w:rPr>
          <w:rFonts w:ascii="Arial" w:hAnsi="Arial" w:cs="Arial"/>
          <w:b/>
        </w:rPr>
        <w:t xml:space="preserve"> τμημάτων Μισθωμένων Γραμμών χονδρικής [ΑΓΟΡΑ 14, Σύστασης Ευρωπαϊκής Επιτροπής του 2003], </w:t>
      </w:r>
    </w:p>
    <w:p w:rsidR="001B272F" w:rsidRPr="007629B9" w:rsidRDefault="00810B80" w:rsidP="00810B80">
      <w:pPr>
        <w:spacing w:before="120" w:after="120" w:line="276" w:lineRule="auto"/>
        <w:ind w:left="495"/>
        <w:jc w:val="both"/>
        <w:rPr>
          <w:rFonts w:ascii="Arial" w:hAnsi="Arial" w:cs="Arial"/>
          <w:b/>
        </w:rPr>
      </w:pPr>
      <w:r w:rsidRPr="007629B9">
        <w:rPr>
          <w:rFonts w:ascii="Arial" w:hAnsi="Arial" w:cs="Arial"/>
          <w:b/>
        </w:rPr>
        <w:t xml:space="preserve">που θα εφαρμοστούν κατά το διάστημα έως την υλοποίηση από την ΕΕΤΤ του/των </w:t>
      </w:r>
      <w:proofErr w:type="spellStart"/>
      <w:r w:rsidRPr="007629B9">
        <w:rPr>
          <w:rFonts w:ascii="Arial" w:hAnsi="Arial" w:cs="Arial"/>
          <w:b/>
        </w:rPr>
        <w:t>bottom-up</w:t>
      </w:r>
      <w:proofErr w:type="spellEnd"/>
      <w:r w:rsidRPr="007629B9">
        <w:rPr>
          <w:rFonts w:ascii="Arial" w:hAnsi="Arial" w:cs="Arial"/>
          <w:b/>
        </w:rPr>
        <w:t xml:space="preserve"> LRIC+ μοντέλων καθορισμού των τιμών Μισθωμένων Γραμμών χονδρικής, σύμφωνα με τα αναφερόμενα στην ΑΠ ΕΕΤΤ 934/03/27.04.2020 (ΦΕΚ 1836/Β/13.05.2020), σε συνέχεια των προσωρινών μέτρων των ΑΠ ΕΕΤΤ 934/04/27.04.2020 (ΦΕΚ 1810/Β/12.05.2020) και 938/01/25.05.2020</w:t>
      </w:r>
    </w:p>
    <w:p w:rsidR="00810B80" w:rsidRDefault="00810B80"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Default="00B56001" w:rsidP="00810B80">
      <w:pPr>
        <w:spacing w:before="120" w:after="120" w:line="276" w:lineRule="auto"/>
        <w:ind w:left="495"/>
        <w:jc w:val="both"/>
        <w:rPr>
          <w:rFonts w:ascii="Arial" w:hAnsi="Arial" w:cs="Arial"/>
          <w:b/>
        </w:rPr>
      </w:pPr>
    </w:p>
    <w:p w:rsidR="00B56001" w:rsidRPr="007629B9" w:rsidRDefault="00B56001" w:rsidP="00B56001">
      <w:pPr>
        <w:spacing w:before="120" w:after="120" w:line="276" w:lineRule="auto"/>
        <w:ind w:left="495"/>
        <w:jc w:val="center"/>
        <w:rPr>
          <w:rFonts w:ascii="Arial" w:hAnsi="Arial" w:cs="Arial"/>
          <w:b/>
        </w:rPr>
      </w:pPr>
      <w:r>
        <w:rPr>
          <w:rFonts w:ascii="Arial" w:hAnsi="Arial" w:cs="Arial"/>
          <w:b/>
        </w:rPr>
        <w:t>ΕΕΤΤ, Ιούνιος 2020</w:t>
      </w:r>
    </w:p>
    <w:p w:rsidR="00B56001" w:rsidRDefault="00B56001">
      <w:pPr>
        <w:rPr>
          <w:rFonts w:ascii="Arial" w:hAnsi="Arial" w:cs="Arial"/>
          <w:b/>
        </w:rPr>
      </w:pPr>
      <w:r>
        <w:rPr>
          <w:rFonts w:ascii="Arial" w:hAnsi="Arial" w:cs="Arial"/>
          <w:b/>
        </w:rPr>
        <w:br w:type="page"/>
      </w:r>
    </w:p>
    <w:p w:rsidR="001B272F" w:rsidRPr="007629B9" w:rsidRDefault="001B272F" w:rsidP="001B272F">
      <w:pPr>
        <w:spacing w:before="120" w:after="120" w:line="276" w:lineRule="auto"/>
        <w:ind w:left="495"/>
        <w:jc w:val="both"/>
        <w:rPr>
          <w:rFonts w:ascii="Arial" w:hAnsi="Arial" w:cs="Arial"/>
          <w:b/>
        </w:rPr>
      </w:pPr>
      <w:r w:rsidRPr="007629B9">
        <w:rPr>
          <w:rFonts w:ascii="Arial" w:hAnsi="Arial" w:cs="Arial"/>
          <w:b/>
        </w:rPr>
        <w:t>Ι. Πρόλογος</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Η παρούσα δημόσια διαβούλευση διεξάγεται από την ΕΕΤΤ στο πλαίσιο των αρμοδιοτήτων της από το ν.4070/2012, ως ισχύει τροποποιηθείς και ιδίως το άρθρο 17 και τα αναφερόμενα στις Αποφάσεις 934/03/27.04.2020 και 934/04/27.04.2020.</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Με την παρούσα τίθεται σε δημόσια διαβούλευση η μεθοδολογία υπολογισμού των </w:t>
      </w:r>
      <w:r w:rsidR="00325754" w:rsidRPr="007629B9">
        <w:rPr>
          <w:rFonts w:ascii="Arial" w:hAnsi="Arial" w:cs="Arial"/>
        </w:rPr>
        <w:t xml:space="preserve">υπό ρύθμιση </w:t>
      </w:r>
      <w:r w:rsidRPr="007629B9">
        <w:rPr>
          <w:rFonts w:ascii="Arial" w:hAnsi="Arial" w:cs="Arial"/>
        </w:rPr>
        <w:t>τιμών</w:t>
      </w:r>
      <w:r w:rsidR="00325754" w:rsidRPr="007629B9">
        <w:rPr>
          <w:rFonts w:ascii="Arial" w:hAnsi="Arial" w:cs="Arial"/>
        </w:rPr>
        <w:t>, καθώς</w:t>
      </w:r>
      <w:r w:rsidRPr="007629B9">
        <w:rPr>
          <w:rFonts w:ascii="Arial" w:hAnsi="Arial" w:cs="Arial"/>
        </w:rPr>
        <w:t xml:space="preserve"> και οι τιμές των προϊόντων των αγορών: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w:t>
      </w:r>
      <w:r w:rsidRPr="007629B9">
        <w:rPr>
          <w:rFonts w:ascii="Arial" w:hAnsi="Arial" w:cs="Arial"/>
        </w:rPr>
        <w:tab/>
        <w:t xml:space="preserve">Τερματικών τμημάτων Μισθωμένων Γραμμών χονδρικής [ΑΓΟΡΑ 4 Σύστασης Ευρωπαϊκής Επιτροπής του 2014],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w:t>
      </w:r>
      <w:r w:rsidRPr="007629B9">
        <w:rPr>
          <w:rFonts w:ascii="Arial" w:hAnsi="Arial" w:cs="Arial"/>
        </w:rPr>
        <w:tab/>
      </w:r>
      <w:proofErr w:type="spellStart"/>
      <w:r w:rsidRPr="007629B9">
        <w:rPr>
          <w:rFonts w:ascii="Arial" w:hAnsi="Arial" w:cs="Arial"/>
        </w:rPr>
        <w:t>Ζευκτικών</w:t>
      </w:r>
      <w:proofErr w:type="spellEnd"/>
      <w:r w:rsidRPr="007629B9">
        <w:rPr>
          <w:rFonts w:ascii="Arial" w:hAnsi="Arial" w:cs="Arial"/>
        </w:rPr>
        <w:t xml:space="preserve"> τμημάτων Μισθωμένων Γραμμών χονδρικής [ΑΓΟΡΑ 14, Σύστασης Ευρωπαϊκής Επιτροπής του 2003],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που θα εφαρμοστούν κατά το διάστημα </w:t>
      </w:r>
      <w:r w:rsidR="00325754" w:rsidRPr="007629B9">
        <w:rPr>
          <w:rFonts w:ascii="Arial" w:hAnsi="Arial" w:cs="Arial"/>
        </w:rPr>
        <w:t xml:space="preserve">έως την υλοποίηση από την ΕΕΤΤ του/των </w:t>
      </w:r>
      <w:proofErr w:type="spellStart"/>
      <w:r w:rsidR="00325754" w:rsidRPr="007629B9">
        <w:rPr>
          <w:rFonts w:ascii="Arial" w:hAnsi="Arial" w:cs="Arial"/>
        </w:rPr>
        <w:t>bottom-up</w:t>
      </w:r>
      <w:proofErr w:type="spellEnd"/>
      <w:r w:rsidR="00325754" w:rsidRPr="007629B9">
        <w:rPr>
          <w:rFonts w:ascii="Arial" w:hAnsi="Arial" w:cs="Arial"/>
        </w:rPr>
        <w:t xml:space="preserve"> LRIC+ μοντέλων καθορισμού των τιμών Μισθωμένων Γραμμών χονδρικής, σύμφωνα με τα αναφερόμενα στην ΑΠ ΕΕΤΤ 934/03/27.04.2020 (ΦΕΚ 1836/Β/13.05.2020), σε συνέχεια των προσωρινών μέτρων των ΑΠ ΕΕΤΤ 934/04/27.04.2020 (ΦΕΚ 1810/Β/12.05.2020) και 938/01/25.05.2020.</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Ως ημερομηνία έναρξης της δημόσιας διαβούλευσης ορίζεται η </w:t>
      </w:r>
      <w:r w:rsidR="00816DCA" w:rsidRPr="007629B9">
        <w:rPr>
          <w:rFonts w:ascii="Arial" w:hAnsi="Arial" w:cs="Arial"/>
        </w:rPr>
        <w:t>Τετάρτη, 3</w:t>
      </w:r>
      <w:r w:rsidRPr="007629B9">
        <w:rPr>
          <w:rFonts w:ascii="Arial" w:hAnsi="Arial" w:cs="Arial"/>
        </w:rPr>
        <w:t xml:space="preserve"> </w:t>
      </w:r>
      <w:r w:rsidR="00203BEB" w:rsidRPr="007629B9">
        <w:rPr>
          <w:rFonts w:ascii="Arial" w:hAnsi="Arial" w:cs="Arial"/>
        </w:rPr>
        <w:t>Ιουνίου</w:t>
      </w:r>
      <w:r w:rsidRPr="007629B9">
        <w:rPr>
          <w:rFonts w:ascii="Arial" w:hAnsi="Arial" w:cs="Arial"/>
        </w:rPr>
        <w:t xml:space="preserve"> 2020 </w:t>
      </w:r>
      <w:r w:rsidR="00203BEB" w:rsidRPr="007629B9">
        <w:rPr>
          <w:rFonts w:ascii="Arial" w:hAnsi="Arial" w:cs="Arial"/>
        </w:rPr>
        <w:t xml:space="preserve">και λήξης η </w:t>
      </w:r>
      <w:r w:rsidR="00816DCA" w:rsidRPr="007629B9">
        <w:rPr>
          <w:rFonts w:ascii="Arial" w:hAnsi="Arial" w:cs="Arial"/>
        </w:rPr>
        <w:t>Δευτέρα, 6</w:t>
      </w:r>
      <w:r w:rsidR="00203BEB" w:rsidRPr="007629B9">
        <w:rPr>
          <w:rFonts w:ascii="Arial" w:hAnsi="Arial" w:cs="Arial"/>
        </w:rPr>
        <w:t xml:space="preserve"> Ιουλ</w:t>
      </w:r>
      <w:r w:rsidRPr="007629B9">
        <w:rPr>
          <w:rFonts w:ascii="Arial" w:hAnsi="Arial" w:cs="Arial"/>
        </w:rPr>
        <w:t xml:space="preserve">ίου </w:t>
      </w:r>
      <w:r w:rsidR="00203BEB" w:rsidRPr="007629B9">
        <w:rPr>
          <w:rFonts w:ascii="Arial" w:hAnsi="Arial" w:cs="Arial"/>
        </w:rPr>
        <w:t>2020 και ώρα 3:00 μ</w:t>
      </w:r>
      <w:r w:rsidRPr="007629B9">
        <w:rPr>
          <w:rFonts w:ascii="Arial" w:hAnsi="Arial" w:cs="Arial"/>
        </w:rPr>
        <w:t xml:space="preserve">μ. Οι απαντήσεις πρέπει να υποβληθούν </w:t>
      </w:r>
      <w:r w:rsidR="00325754" w:rsidRPr="007629B9">
        <w:rPr>
          <w:rFonts w:ascii="Arial" w:hAnsi="Arial" w:cs="Arial"/>
        </w:rPr>
        <w:t>επωνύμως</w:t>
      </w:r>
      <w:r w:rsidRPr="007629B9">
        <w:rPr>
          <w:rFonts w:ascii="Arial" w:hAnsi="Arial" w:cs="Arial"/>
        </w:rPr>
        <w:t>, στην ελληνική γλώσσα, τόσο σε έντυπη όσο και σε ηλεκτρονική µ</w:t>
      </w:r>
      <w:proofErr w:type="spellStart"/>
      <w:r w:rsidRPr="007629B9">
        <w:rPr>
          <w:rFonts w:ascii="Arial" w:hAnsi="Arial" w:cs="Arial"/>
        </w:rPr>
        <w:t>ορφή</w:t>
      </w:r>
      <w:proofErr w:type="spellEnd"/>
      <w:r w:rsidRPr="007629B9">
        <w:rPr>
          <w:rFonts w:ascii="Arial" w:hAnsi="Arial" w:cs="Arial"/>
        </w:rPr>
        <w:t xml:space="preserve"> μέχρι και την ημερομηνία λήξης της δημόσιας διαβούλευσης. Τυχόν </w:t>
      </w:r>
      <w:proofErr w:type="spellStart"/>
      <w:r w:rsidRPr="007629B9">
        <w:rPr>
          <w:rFonts w:ascii="Arial" w:hAnsi="Arial" w:cs="Arial"/>
        </w:rPr>
        <w:t>ανώνυµες</w:t>
      </w:r>
      <w:proofErr w:type="spellEnd"/>
      <w:r w:rsidRPr="007629B9">
        <w:rPr>
          <w:rFonts w:ascii="Arial" w:hAnsi="Arial" w:cs="Arial"/>
        </w:rPr>
        <w:t xml:space="preserve"> απαντήσεις δεν θα ληφθούν υπόψη. Οι απαντήσεις θα </w:t>
      </w:r>
      <w:r w:rsidR="00325754" w:rsidRPr="007629B9">
        <w:rPr>
          <w:rFonts w:ascii="Arial" w:hAnsi="Arial" w:cs="Arial"/>
        </w:rPr>
        <w:t>δημοσιευτούν</w:t>
      </w:r>
      <w:r w:rsidRPr="007629B9">
        <w:rPr>
          <w:rFonts w:ascii="Arial" w:hAnsi="Arial" w:cs="Arial"/>
        </w:rPr>
        <w:t xml:space="preserve"> αυτούσιες και </w:t>
      </w:r>
      <w:proofErr w:type="spellStart"/>
      <w:r w:rsidRPr="007629B9">
        <w:rPr>
          <w:rFonts w:ascii="Arial" w:hAnsi="Arial" w:cs="Arial"/>
        </w:rPr>
        <w:t>επωνύµως</w:t>
      </w:r>
      <w:proofErr w:type="spellEnd"/>
      <w:r w:rsidRPr="007629B9">
        <w:rPr>
          <w:rFonts w:ascii="Arial" w:hAnsi="Arial" w:cs="Arial"/>
        </w:rPr>
        <w:t xml:space="preserve"> στην ιστοσελίδα της ΕΕΤΤ. Σε περίπτωση που οι απαντήσεις περιέχουν </w:t>
      </w:r>
      <w:proofErr w:type="spellStart"/>
      <w:r w:rsidRPr="007629B9">
        <w:rPr>
          <w:rFonts w:ascii="Arial" w:hAnsi="Arial" w:cs="Arial"/>
        </w:rPr>
        <w:t>εµπιστευτικά</w:t>
      </w:r>
      <w:proofErr w:type="spellEnd"/>
      <w:r w:rsidRPr="007629B9">
        <w:rPr>
          <w:rFonts w:ascii="Arial" w:hAnsi="Arial" w:cs="Arial"/>
        </w:rPr>
        <w:t xml:space="preserve"> στοιχεία αυτά θα πρέπει να τοποθετηθούν σε ειδικό </w:t>
      </w:r>
      <w:proofErr w:type="spellStart"/>
      <w:r w:rsidRPr="007629B9">
        <w:rPr>
          <w:rFonts w:ascii="Arial" w:hAnsi="Arial" w:cs="Arial"/>
        </w:rPr>
        <w:t>Παράρτηµα</w:t>
      </w:r>
      <w:proofErr w:type="spellEnd"/>
      <w:r w:rsidRPr="007629B9">
        <w:rPr>
          <w:rFonts w:ascii="Arial" w:hAnsi="Arial" w:cs="Arial"/>
        </w:rPr>
        <w:t xml:space="preserve">, </w:t>
      </w:r>
      <w:proofErr w:type="spellStart"/>
      <w:r w:rsidRPr="007629B9">
        <w:rPr>
          <w:rFonts w:ascii="Arial" w:hAnsi="Arial" w:cs="Arial"/>
        </w:rPr>
        <w:t>προκειµένου</w:t>
      </w:r>
      <w:proofErr w:type="spellEnd"/>
      <w:r w:rsidRPr="007629B9">
        <w:rPr>
          <w:rFonts w:ascii="Arial" w:hAnsi="Arial" w:cs="Arial"/>
        </w:rPr>
        <w:t xml:space="preserve"> να µη </w:t>
      </w:r>
      <w:proofErr w:type="spellStart"/>
      <w:r w:rsidRPr="007629B9">
        <w:rPr>
          <w:rFonts w:ascii="Arial" w:hAnsi="Arial" w:cs="Arial"/>
        </w:rPr>
        <w:t>δηµοσιευθούν</w:t>
      </w:r>
      <w:proofErr w:type="spellEnd"/>
      <w:r w:rsidRPr="007629B9">
        <w:rPr>
          <w:rFonts w:ascii="Arial" w:hAnsi="Arial" w:cs="Arial"/>
        </w:rPr>
        <w:t xml:space="preserve">.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Οι απαντήσεις πρέπει να φέρουν την ένδειξη: </w:t>
      </w:r>
    </w:p>
    <w:p w:rsidR="001B272F" w:rsidRPr="007629B9" w:rsidRDefault="001B272F" w:rsidP="001B7A9F">
      <w:pPr>
        <w:spacing w:before="120" w:after="120" w:line="276" w:lineRule="auto"/>
        <w:ind w:left="495"/>
        <w:jc w:val="center"/>
        <w:rPr>
          <w:rFonts w:ascii="Arial" w:hAnsi="Arial" w:cs="Arial"/>
        </w:rPr>
      </w:pPr>
      <w:r w:rsidRPr="007629B9">
        <w:rPr>
          <w:rFonts w:ascii="Arial" w:hAnsi="Arial" w:cs="Arial"/>
        </w:rPr>
        <w:t>«</w:t>
      </w:r>
      <w:proofErr w:type="spellStart"/>
      <w:r w:rsidRPr="007629B9">
        <w:rPr>
          <w:rFonts w:ascii="Arial" w:hAnsi="Arial" w:cs="Arial"/>
          <w:i/>
        </w:rPr>
        <w:t>Δηµόσια</w:t>
      </w:r>
      <w:proofErr w:type="spellEnd"/>
      <w:r w:rsidRPr="007629B9">
        <w:rPr>
          <w:rFonts w:ascii="Arial" w:hAnsi="Arial" w:cs="Arial"/>
          <w:i/>
        </w:rPr>
        <w:t xml:space="preserve"> διαβούλευση αναφορικά με τον καθορισμό μεθοδολογίας υπολογισμού των τιμών και τις τιμές των προϊόντων των</w:t>
      </w:r>
      <w:r w:rsidR="001B7A9F" w:rsidRPr="007629B9">
        <w:rPr>
          <w:rFonts w:ascii="Arial" w:hAnsi="Arial" w:cs="Arial"/>
          <w:i/>
        </w:rPr>
        <w:t xml:space="preserve"> χονδρικών </w:t>
      </w:r>
      <w:r w:rsidRPr="007629B9">
        <w:rPr>
          <w:rFonts w:ascii="Arial" w:hAnsi="Arial" w:cs="Arial"/>
          <w:i/>
        </w:rPr>
        <w:t>αγορών</w:t>
      </w:r>
      <w:r w:rsidR="001B7A9F" w:rsidRPr="007629B9">
        <w:rPr>
          <w:rFonts w:ascii="Arial" w:hAnsi="Arial" w:cs="Arial"/>
          <w:i/>
        </w:rPr>
        <w:t xml:space="preserve"> μισθωμένων γραμμών</w:t>
      </w:r>
      <w:r w:rsidRPr="007629B9">
        <w:rPr>
          <w:rFonts w:ascii="Arial" w:hAnsi="Arial" w:cs="Arial"/>
        </w:rPr>
        <w:t>»</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Οι απαντήσεις πρέπει να υποβάλλονται τόσο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Α) στην ακόλουθη διεύθυνση: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ΕΕΤΤ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Λ. </w:t>
      </w:r>
      <w:proofErr w:type="spellStart"/>
      <w:r w:rsidRPr="007629B9">
        <w:rPr>
          <w:rFonts w:ascii="Arial" w:hAnsi="Arial" w:cs="Arial"/>
        </w:rPr>
        <w:t>Κηφισίας</w:t>
      </w:r>
      <w:proofErr w:type="spellEnd"/>
      <w:r w:rsidRPr="007629B9">
        <w:rPr>
          <w:rFonts w:ascii="Arial" w:hAnsi="Arial" w:cs="Arial"/>
        </w:rPr>
        <w:t xml:space="preserve"> 60,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15125 Μαρούσι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Αττική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Όσο και </w:t>
      </w:r>
    </w:p>
    <w:p w:rsidR="001B272F" w:rsidRPr="007629B9" w:rsidRDefault="001B272F" w:rsidP="001B272F">
      <w:pPr>
        <w:spacing w:before="120" w:after="120" w:line="276" w:lineRule="auto"/>
        <w:ind w:left="495"/>
        <w:jc w:val="both"/>
        <w:rPr>
          <w:rFonts w:ascii="Arial" w:hAnsi="Arial" w:cs="Arial"/>
        </w:rPr>
      </w:pPr>
      <w:r w:rsidRPr="007629B9">
        <w:rPr>
          <w:rFonts w:ascii="Arial" w:hAnsi="Arial" w:cs="Arial"/>
        </w:rPr>
        <w:t xml:space="preserve">Β) στη διεύθυνση Ηλεκτρονικού </w:t>
      </w:r>
      <w:proofErr w:type="spellStart"/>
      <w:r w:rsidRPr="007629B9">
        <w:rPr>
          <w:rFonts w:ascii="Arial" w:hAnsi="Arial" w:cs="Arial"/>
        </w:rPr>
        <w:t>Ταχυδροµείου</w:t>
      </w:r>
      <w:proofErr w:type="spellEnd"/>
      <w:r w:rsidRPr="007629B9">
        <w:rPr>
          <w:rFonts w:ascii="Arial" w:hAnsi="Arial" w:cs="Arial"/>
        </w:rPr>
        <w:t xml:space="preserve"> : </w:t>
      </w:r>
      <w:hyperlink r:id="rId8" w:history="1">
        <w:r w:rsidR="001B7A9F" w:rsidRPr="007629B9">
          <w:rPr>
            <w:rStyle w:val="-"/>
            <w:rFonts w:ascii="Arial" w:hAnsi="Arial" w:cs="Arial"/>
            <w:lang w:val="en-US"/>
          </w:rPr>
          <w:t>market</w:t>
        </w:r>
        <w:r w:rsidR="001B7A9F" w:rsidRPr="007629B9">
          <w:rPr>
            <w:rStyle w:val="-"/>
            <w:rFonts w:ascii="Arial" w:hAnsi="Arial" w:cs="Arial"/>
          </w:rPr>
          <w:t>.</w:t>
        </w:r>
        <w:r w:rsidR="001B7A9F" w:rsidRPr="007629B9">
          <w:rPr>
            <w:rStyle w:val="-"/>
            <w:rFonts w:ascii="Arial" w:hAnsi="Arial" w:cs="Arial"/>
            <w:lang w:val="en-US"/>
          </w:rPr>
          <w:t>analysis</w:t>
        </w:r>
        <w:r w:rsidR="001B7A9F" w:rsidRPr="007629B9">
          <w:rPr>
            <w:rStyle w:val="-"/>
            <w:rFonts w:ascii="Arial" w:hAnsi="Arial" w:cs="Arial"/>
          </w:rPr>
          <w:t>@eett.gr</w:t>
        </w:r>
      </w:hyperlink>
      <w:r w:rsidRPr="007629B9">
        <w:rPr>
          <w:rFonts w:ascii="Arial" w:hAnsi="Arial" w:cs="Arial"/>
        </w:rPr>
        <w:t xml:space="preserve">.  </w:t>
      </w:r>
    </w:p>
    <w:p w:rsidR="001B272F" w:rsidRPr="007629B9" w:rsidRDefault="001B7A9F" w:rsidP="001B272F">
      <w:pPr>
        <w:spacing w:before="120" w:after="120" w:line="276" w:lineRule="auto"/>
        <w:ind w:left="495"/>
        <w:jc w:val="both"/>
        <w:rPr>
          <w:rFonts w:ascii="Arial" w:hAnsi="Arial" w:cs="Arial"/>
        </w:rPr>
      </w:pPr>
      <w:r w:rsidRPr="007629B9">
        <w:rPr>
          <w:rFonts w:ascii="Arial" w:hAnsi="Arial" w:cs="Arial"/>
        </w:rPr>
        <w:t xml:space="preserve">Κατά τη διάρκεια της </w:t>
      </w:r>
      <w:proofErr w:type="spellStart"/>
      <w:r w:rsidRPr="007629B9">
        <w:rPr>
          <w:rFonts w:ascii="Arial" w:hAnsi="Arial" w:cs="Arial"/>
        </w:rPr>
        <w:t>Δ</w:t>
      </w:r>
      <w:r w:rsidR="001B272F" w:rsidRPr="007629B9">
        <w:rPr>
          <w:rFonts w:ascii="Arial" w:hAnsi="Arial" w:cs="Arial"/>
        </w:rPr>
        <w:t>ηµόσιας</w:t>
      </w:r>
      <w:proofErr w:type="spellEnd"/>
      <w:r w:rsidR="001B272F" w:rsidRPr="007629B9">
        <w:rPr>
          <w:rFonts w:ascii="Arial" w:hAnsi="Arial" w:cs="Arial"/>
        </w:rPr>
        <w:t xml:space="preserve"> ∆</w:t>
      </w:r>
      <w:proofErr w:type="spellStart"/>
      <w:r w:rsidR="001B272F" w:rsidRPr="007629B9">
        <w:rPr>
          <w:rFonts w:ascii="Arial" w:hAnsi="Arial" w:cs="Arial"/>
        </w:rPr>
        <w:t>ιαβούλευσης</w:t>
      </w:r>
      <w:proofErr w:type="spellEnd"/>
      <w:r w:rsidR="001B272F" w:rsidRPr="007629B9">
        <w:rPr>
          <w:rFonts w:ascii="Arial" w:hAnsi="Arial" w:cs="Arial"/>
        </w:rPr>
        <w:t xml:space="preserve"> είναι δυνατόν να παρέχονται από την ΕΕΤΤ διευκρινιστικές απαντήσεις σε ερωτήσεις των </w:t>
      </w:r>
      <w:proofErr w:type="spellStart"/>
      <w:r w:rsidR="001B272F" w:rsidRPr="007629B9">
        <w:rPr>
          <w:rFonts w:ascii="Arial" w:hAnsi="Arial" w:cs="Arial"/>
        </w:rPr>
        <w:t>ενδιαφεροµένων</w:t>
      </w:r>
      <w:proofErr w:type="spellEnd"/>
      <w:r w:rsidR="001B272F" w:rsidRPr="007629B9">
        <w:rPr>
          <w:rFonts w:ascii="Arial" w:hAnsi="Arial" w:cs="Arial"/>
        </w:rPr>
        <w:t xml:space="preserve">, οι οποίες πρέπει να υποβάλλονται </w:t>
      </w:r>
      <w:proofErr w:type="spellStart"/>
      <w:r w:rsidR="001B272F" w:rsidRPr="007629B9">
        <w:rPr>
          <w:rFonts w:ascii="Arial" w:hAnsi="Arial" w:cs="Arial"/>
        </w:rPr>
        <w:t>επώνυµα</w:t>
      </w:r>
      <w:proofErr w:type="spellEnd"/>
      <w:r w:rsidR="001B272F" w:rsidRPr="007629B9">
        <w:rPr>
          <w:rFonts w:ascii="Arial" w:hAnsi="Arial" w:cs="Arial"/>
        </w:rPr>
        <w:t xml:space="preserve"> και με σαφήνεια µόνο µέσω ηλεκτρονικού </w:t>
      </w:r>
      <w:proofErr w:type="spellStart"/>
      <w:r w:rsidR="001B272F" w:rsidRPr="007629B9">
        <w:rPr>
          <w:rFonts w:ascii="Arial" w:hAnsi="Arial" w:cs="Arial"/>
        </w:rPr>
        <w:t>ταχυδροµείου</w:t>
      </w:r>
      <w:proofErr w:type="spellEnd"/>
      <w:r w:rsidR="001B272F" w:rsidRPr="007629B9">
        <w:rPr>
          <w:rFonts w:ascii="Arial" w:hAnsi="Arial" w:cs="Arial"/>
        </w:rPr>
        <w:t xml:space="preserve"> στη διεύθυνση: </w:t>
      </w:r>
      <w:hyperlink r:id="rId9" w:history="1">
        <w:r w:rsidRPr="007629B9">
          <w:rPr>
            <w:rStyle w:val="-"/>
            <w:rFonts w:ascii="Arial" w:hAnsi="Arial" w:cs="Arial"/>
            <w:lang w:val="en-US"/>
          </w:rPr>
          <w:t>market</w:t>
        </w:r>
        <w:r w:rsidRPr="007629B9">
          <w:rPr>
            <w:rStyle w:val="-"/>
            <w:rFonts w:ascii="Arial" w:hAnsi="Arial" w:cs="Arial"/>
          </w:rPr>
          <w:t>.</w:t>
        </w:r>
        <w:r w:rsidRPr="007629B9">
          <w:rPr>
            <w:rStyle w:val="-"/>
            <w:rFonts w:ascii="Arial" w:hAnsi="Arial" w:cs="Arial"/>
            <w:lang w:val="en-US"/>
          </w:rPr>
          <w:t>analysis</w:t>
        </w:r>
        <w:r w:rsidRPr="007629B9">
          <w:rPr>
            <w:rStyle w:val="-"/>
            <w:rFonts w:ascii="Arial" w:hAnsi="Arial" w:cs="Arial"/>
          </w:rPr>
          <w:t>@eett.gr</w:t>
        </w:r>
      </w:hyperlink>
      <w:r w:rsidR="001B272F" w:rsidRPr="007629B9">
        <w:rPr>
          <w:rFonts w:ascii="Arial" w:hAnsi="Arial" w:cs="Arial"/>
        </w:rPr>
        <w:t xml:space="preserve">. Το παρόν </w:t>
      </w:r>
      <w:proofErr w:type="spellStart"/>
      <w:r w:rsidR="001B272F" w:rsidRPr="007629B9">
        <w:rPr>
          <w:rFonts w:ascii="Arial" w:hAnsi="Arial" w:cs="Arial"/>
        </w:rPr>
        <w:t>κείµενο</w:t>
      </w:r>
      <w:proofErr w:type="spellEnd"/>
      <w:r w:rsidR="001B272F" w:rsidRPr="007629B9">
        <w:rPr>
          <w:rFonts w:ascii="Arial" w:hAnsi="Arial" w:cs="Arial"/>
        </w:rPr>
        <w:t xml:space="preserve"> δεν </w:t>
      </w:r>
      <w:proofErr w:type="spellStart"/>
      <w:r w:rsidR="001B272F" w:rsidRPr="007629B9">
        <w:rPr>
          <w:rFonts w:ascii="Arial" w:hAnsi="Arial" w:cs="Arial"/>
        </w:rPr>
        <w:t>δεσµεύει</w:t>
      </w:r>
      <w:proofErr w:type="spellEnd"/>
      <w:r w:rsidR="001B272F" w:rsidRPr="007629B9">
        <w:rPr>
          <w:rFonts w:ascii="Arial" w:hAnsi="Arial" w:cs="Arial"/>
        </w:rPr>
        <w:t xml:space="preserve"> την ΕΕΤΤ ως προς το </w:t>
      </w:r>
      <w:proofErr w:type="spellStart"/>
      <w:r w:rsidR="001B272F" w:rsidRPr="007629B9">
        <w:rPr>
          <w:rFonts w:ascii="Arial" w:hAnsi="Arial" w:cs="Arial"/>
        </w:rPr>
        <w:t>περιεχόµενο</w:t>
      </w:r>
      <w:proofErr w:type="spellEnd"/>
      <w:r w:rsidR="001B272F" w:rsidRPr="007629B9">
        <w:rPr>
          <w:rFonts w:ascii="Arial" w:hAnsi="Arial" w:cs="Arial"/>
        </w:rPr>
        <w:t xml:space="preserve"> της </w:t>
      </w:r>
      <w:proofErr w:type="spellStart"/>
      <w:r w:rsidR="001B272F" w:rsidRPr="007629B9">
        <w:rPr>
          <w:rFonts w:ascii="Arial" w:hAnsi="Arial" w:cs="Arial"/>
        </w:rPr>
        <w:t>ρύθµισης</w:t>
      </w:r>
      <w:proofErr w:type="spellEnd"/>
      <w:r w:rsidR="001B272F" w:rsidRPr="007629B9">
        <w:rPr>
          <w:rFonts w:ascii="Arial" w:hAnsi="Arial" w:cs="Arial"/>
        </w:rPr>
        <w:t xml:space="preserve"> που θα επακολουθήσει.</w:t>
      </w:r>
    </w:p>
    <w:p w:rsidR="001B272F" w:rsidRPr="007629B9" w:rsidRDefault="001B272F" w:rsidP="001B272F">
      <w:pPr>
        <w:spacing w:before="120" w:after="120" w:line="276" w:lineRule="auto"/>
        <w:ind w:left="495"/>
        <w:jc w:val="both"/>
        <w:rPr>
          <w:rFonts w:ascii="Arial" w:hAnsi="Arial" w:cs="Arial"/>
        </w:rPr>
      </w:pPr>
    </w:p>
    <w:p w:rsidR="001B7A9F" w:rsidRPr="007629B9" w:rsidRDefault="001B7A9F">
      <w:pPr>
        <w:rPr>
          <w:rFonts w:ascii="Arial" w:hAnsi="Arial" w:cs="Arial"/>
          <w:b/>
        </w:rPr>
      </w:pPr>
      <w:r w:rsidRPr="007629B9">
        <w:rPr>
          <w:rFonts w:ascii="Arial" w:hAnsi="Arial" w:cs="Arial"/>
          <w:b/>
        </w:rPr>
        <w:br w:type="page"/>
      </w:r>
    </w:p>
    <w:p w:rsidR="001B272F" w:rsidRPr="007629B9" w:rsidRDefault="001B272F" w:rsidP="001B272F">
      <w:pPr>
        <w:spacing w:before="120" w:after="120" w:line="276" w:lineRule="auto"/>
        <w:ind w:left="495"/>
        <w:jc w:val="both"/>
        <w:rPr>
          <w:rFonts w:ascii="Arial" w:hAnsi="Arial" w:cs="Arial"/>
          <w:b/>
        </w:rPr>
      </w:pPr>
      <w:r w:rsidRPr="007629B9">
        <w:rPr>
          <w:rFonts w:ascii="Arial" w:hAnsi="Arial" w:cs="Arial"/>
          <w:b/>
        </w:rPr>
        <w:t>ΙΙ. Κείμενο διαβούλευσης</w:t>
      </w:r>
    </w:p>
    <w:p w:rsidR="00203BEB" w:rsidRPr="007629B9" w:rsidRDefault="00203BEB" w:rsidP="001B272F">
      <w:pPr>
        <w:spacing w:before="120" w:after="120" w:line="276" w:lineRule="auto"/>
        <w:ind w:left="495"/>
        <w:jc w:val="both"/>
        <w:rPr>
          <w:rFonts w:ascii="Arial" w:hAnsi="Arial" w:cs="Arial"/>
          <w:b/>
        </w:rPr>
      </w:pPr>
      <w:r w:rsidRPr="007629B9">
        <w:rPr>
          <w:rFonts w:ascii="Arial" w:hAnsi="Arial" w:cs="Arial"/>
          <w:b/>
        </w:rPr>
        <w:t>Α. ΣΤΟΙΧΕΙΑ ΑΓΟΡΑΣ ΚΑΙ ΜΕΘΟΔΟΛΟΓΙΑ ΚΑΘΟΡΙΣΜΟΥ ΤΙΜΩΝ</w:t>
      </w:r>
    </w:p>
    <w:p w:rsidR="005D1CB2" w:rsidRPr="007629B9" w:rsidRDefault="005D1CB2" w:rsidP="001B272F">
      <w:pPr>
        <w:numPr>
          <w:ilvl w:val="0"/>
          <w:numId w:val="20"/>
        </w:numPr>
        <w:spacing w:before="120" w:after="120" w:line="276" w:lineRule="auto"/>
        <w:jc w:val="both"/>
        <w:rPr>
          <w:rFonts w:ascii="Arial" w:hAnsi="Arial" w:cs="Arial"/>
        </w:rPr>
      </w:pPr>
      <w:r w:rsidRPr="007629B9">
        <w:rPr>
          <w:rFonts w:ascii="Arial" w:hAnsi="Arial" w:cs="Arial"/>
        </w:rPr>
        <w:t>Στοιχεία αγοράς:</w:t>
      </w:r>
    </w:p>
    <w:p w:rsidR="00F132EA" w:rsidRPr="007629B9" w:rsidRDefault="00F132EA" w:rsidP="00F132EA">
      <w:pPr>
        <w:spacing w:line="276" w:lineRule="auto"/>
        <w:ind w:left="567"/>
        <w:jc w:val="both"/>
        <w:rPr>
          <w:rFonts w:ascii="Arial" w:hAnsi="Arial" w:cs="Arial"/>
        </w:rPr>
      </w:pPr>
      <w:r w:rsidRPr="007629B9">
        <w:rPr>
          <w:rFonts w:ascii="Arial" w:hAnsi="Arial" w:cs="Arial"/>
          <w:lang w:val="en-US"/>
        </w:rPr>
        <w:t>O</w:t>
      </w:r>
      <w:r w:rsidRPr="007629B9">
        <w:rPr>
          <w:rFonts w:ascii="Arial" w:hAnsi="Arial" w:cs="Arial"/>
        </w:rPr>
        <w:t xml:space="preserve"> </w:t>
      </w:r>
      <w:r w:rsidRPr="007629B9">
        <w:rPr>
          <w:rFonts w:ascii="Arial" w:hAnsi="Arial" w:cs="Arial"/>
          <w:lang w:val="en-US"/>
        </w:rPr>
        <w:t>OTE</w:t>
      </w:r>
      <w:r w:rsidRPr="007629B9">
        <w:rPr>
          <w:rFonts w:ascii="Arial" w:hAnsi="Arial" w:cs="Arial"/>
        </w:rPr>
        <w:t xml:space="preserve"> υπέβαλε στοιχεία ανά κωδικό πελάτη, αναλύοντας όλα τα κυκλώματα ανά πελάτη, συμπεριλαμβάνοντας κυκλώματα ΜΓ </w:t>
      </w:r>
      <w:r w:rsidRPr="007629B9">
        <w:rPr>
          <w:rFonts w:ascii="Arial" w:hAnsi="Arial" w:cs="Arial"/>
          <w:lang w:val="en-US"/>
        </w:rPr>
        <w:t>Ethernet</w:t>
      </w:r>
      <w:r w:rsidRPr="007629B9">
        <w:rPr>
          <w:rFonts w:ascii="Arial" w:hAnsi="Arial" w:cs="Arial"/>
        </w:rPr>
        <w:t xml:space="preserve">, κυκλώματα </w:t>
      </w:r>
      <w:r w:rsidRPr="007629B9">
        <w:rPr>
          <w:rFonts w:ascii="Arial" w:hAnsi="Arial" w:cs="Arial"/>
          <w:lang w:val="en-US"/>
        </w:rPr>
        <w:t>DIA</w:t>
      </w:r>
      <w:r w:rsidRPr="007629B9">
        <w:rPr>
          <w:rFonts w:ascii="Arial" w:hAnsi="Arial" w:cs="Arial"/>
        </w:rPr>
        <w:t xml:space="preserve">, και κυκλώματα </w:t>
      </w:r>
      <w:r w:rsidRPr="007629B9">
        <w:rPr>
          <w:rFonts w:ascii="Arial" w:hAnsi="Arial" w:cs="Arial"/>
          <w:lang w:val="en-US"/>
        </w:rPr>
        <w:t>Ethernet</w:t>
      </w:r>
      <w:r w:rsidRPr="007629B9">
        <w:rPr>
          <w:rFonts w:ascii="Arial" w:hAnsi="Arial" w:cs="Arial"/>
        </w:rPr>
        <w:t xml:space="preserve"> που παρέχονται στο πλαίσιο υπηρεσιών </w:t>
      </w:r>
      <w:r w:rsidRPr="007629B9">
        <w:rPr>
          <w:rFonts w:ascii="Arial" w:hAnsi="Arial" w:cs="Arial"/>
          <w:lang w:val="en-US"/>
        </w:rPr>
        <w:t>VPN</w:t>
      </w:r>
      <w:r w:rsidRPr="007629B9">
        <w:rPr>
          <w:rFonts w:ascii="Arial" w:hAnsi="Arial" w:cs="Arial"/>
        </w:rPr>
        <w:t xml:space="preserve">, πάνω από οποιοδήποτε φυσικό μέσο και σε οποιαδήποτε ταχύτητα. Η ανάλυση αφορά </w:t>
      </w:r>
      <w:r w:rsidR="0095391B" w:rsidRPr="007629B9">
        <w:rPr>
          <w:rFonts w:ascii="Arial" w:hAnsi="Arial" w:cs="Arial"/>
        </w:rPr>
        <w:t xml:space="preserve">[…] </w:t>
      </w:r>
      <w:r w:rsidRPr="007629B9">
        <w:rPr>
          <w:rFonts w:ascii="Arial" w:hAnsi="Arial" w:cs="Arial"/>
        </w:rPr>
        <w:t xml:space="preserve">κωδικούς πελατών και </w:t>
      </w:r>
      <w:r w:rsidR="0095391B" w:rsidRPr="007629B9">
        <w:rPr>
          <w:rFonts w:ascii="Arial" w:hAnsi="Arial" w:cs="Arial"/>
        </w:rPr>
        <w:t>[…]</w:t>
      </w:r>
      <w:r w:rsidRPr="007629B9">
        <w:rPr>
          <w:rFonts w:ascii="Arial" w:hAnsi="Arial" w:cs="Arial"/>
        </w:rPr>
        <w:t xml:space="preserve"> κυκλώματα (ποσοστό </w:t>
      </w:r>
      <w:r w:rsidRPr="00744153">
        <w:rPr>
          <w:rFonts w:ascii="Arial" w:hAnsi="Arial" w:cs="Arial"/>
        </w:rPr>
        <w:t>84%</w:t>
      </w:r>
      <w:r w:rsidRPr="007629B9">
        <w:rPr>
          <w:rFonts w:ascii="Arial" w:hAnsi="Arial" w:cs="Arial"/>
        </w:rPr>
        <w:t xml:space="preserve"> των κυκλωμάτων </w:t>
      </w:r>
      <w:r w:rsidRPr="007629B9">
        <w:rPr>
          <w:rFonts w:ascii="Arial" w:hAnsi="Arial" w:cs="Arial"/>
          <w:lang w:val="en-US"/>
        </w:rPr>
        <w:t>Ethernet</w:t>
      </w:r>
      <w:r w:rsidRPr="007629B9">
        <w:rPr>
          <w:rFonts w:ascii="Arial" w:hAnsi="Arial" w:cs="Arial"/>
        </w:rPr>
        <w:t xml:space="preserve">) και </w:t>
      </w:r>
      <w:r w:rsidR="0095391B" w:rsidRPr="007629B9">
        <w:rPr>
          <w:rFonts w:ascii="Arial" w:hAnsi="Arial" w:cs="Arial"/>
        </w:rPr>
        <w:t>[…]</w:t>
      </w:r>
      <w:r w:rsidRPr="007629B9">
        <w:rPr>
          <w:rFonts w:ascii="Arial" w:hAnsi="Arial" w:cs="Arial"/>
        </w:rPr>
        <w:t xml:space="preserve"> κωδικούς πελατών που λαμβάνουν ασύρματα κυκλώματα, αναλύοντας το σύνολο (</w:t>
      </w:r>
      <w:r w:rsidR="0095391B" w:rsidRPr="007629B9">
        <w:rPr>
          <w:rFonts w:ascii="Arial" w:hAnsi="Arial" w:cs="Arial"/>
        </w:rPr>
        <w:t>[…]</w:t>
      </w:r>
      <w:r w:rsidRPr="007629B9">
        <w:rPr>
          <w:rFonts w:ascii="Arial" w:hAnsi="Arial" w:cs="Arial"/>
        </w:rPr>
        <w:t>) των ασύρματων κυκλωμάτων.</w:t>
      </w:r>
    </w:p>
    <w:p w:rsidR="00F132EA" w:rsidRPr="007629B9" w:rsidRDefault="00F132EA" w:rsidP="00F132EA">
      <w:pPr>
        <w:spacing w:line="276" w:lineRule="auto"/>
        <w:ind w:left="567"/>
        <w:jc w:val="both"/>
        <w:rPr>
          <w:rFonts w:ascii="Arial" w:hAnsi="Arial" w:cs="Arial"/>
        </w:rPr>
      </w:pPr>
      <w:r w:rsidRPr="007629B9">
        <w:rPr>
          <w:rFonts w:ascii="Arial" w:hAnsi="Arial" w:cs="Arial"/>
        </w:rPr>
        <w:t xml:space="preserve">Η </w:t>
      </w:r>
      <w:r w:rsidRPr="007629B9">
        <w:rPr>
          <w:rFonts w:ascii="Arial" w:hAnsi="Arial" w:cs="Arial"/>
          <w:lang w:val="en-US"/>
        </w:rPr>
        <w:t>Vodafone</w:t>
      </w:r>
      <w:r w:rsidRPr="007629B9">
        <w:rPr>
          <w:rFonts w:ascii="Arial" w:hAnsi="Arial" w:cs="Arial"/>
        </w:rPr>
        <w:t xml:space="preserve"> υπέβαλλε στοιχεία ανά πελάτη για </w:t>
      </w:r>
      <w:r w:rsidR="0095391B" w:rsidRPr="007629B9">
        <w:rPr>
          <w:rFonts w:ascii="Arial" w:hAnsi="Arial" w:cs="Arial"/>
        </w:rPr>
        <w:t xml:space="preserve">[…] </w:t>
      </w:r>
      <w:r w:rsidRPr="007629B9">
        <w:rPr>
          <w:rFonts w:ascii="Arial" w:hAnsi="Arial" w:cs="Arial"/>
        </w:rPr>
        <w:t xml:space="preserve">από </w:t>
      </w:r>
      <w:r w:rsidR="0095391B" w:rsidRPr="007629B9">
        <w:rPr>
          <w:rFonts w:ascii="Arial" w:hAnsi="Arial" w:cs="Arial"/>
        </w:rPr>
        <w:t>[…]</w:t>
      </w:r>
      <w:r w:rsidRPr="007629B9">
        <w:rPr>
          <w:rFonts w:ascii="Arial" w:hAnsi="Arial" w:cs="Arial"/>
        </w:rPr>
        <w:t xml:space="preserve"> ενσύρματα κυκλώματα λιανικής, που αντιστοιχεί σε ποσοστό </w:t>
      </w:r>
      <w:r w:rsidRPr="00744153">
        <w:rPr>
          <w:rFonts w:ascii="Arial" w:hAnsi="Arial" w:cs="Arial"/>
        </w:rPr>
        <w:t>54%</w:t>
      </w:r>
      <w:r w:rsidRPr="007629B9">
        <w:rPr>
          <w:rFonts w:ascii="Arial" w:hAnsi="Arial" w:cs="Arial"/>
        </w:rPr>
        <w:t xml:space="preserve">, </w:t>
      </w:r>
      <w:r w:rsidR="0095391B" w:rsidRPr="007629B9">
        <w:rPr>
          <w:rFonts w:ascii="Arial" w:hAnsi="Arial" w:cs="Arial"/>
        </w:rPr>
        <w:t>[…]</w:t>
      </w:r>
      <w:r w:rsidRPr="007629B9">
        <w:rPr>
          <w:rFonts w:ascii="Arial" w:hAnsi="Arial" w:cs="Arial"/>
        </w:rPr>
        <w:t xml:space="preserve"> από </w:t>
      </w:r>
      <w:r w:rsidR="0095391B" w:rsidRPr="007629B9">
        <w:rPr>
          <w:rFonts w:ascii="Arial" w:hAnsi="Arial" w:cs="Arial"/>
        </w:rPr>
        <w:t>[…]</w:t>
      </w:r>
      <w:r w:rsidRPr="007629B9">
        <w:rPr>
          <w:rFonts w:ascii="Arial" w:hAnsi="Arial" w:cs="Arial"/>
        </w:rPr>
        <w:t xml:space="preserve"> ασύρματα κυκλώματα λιανικής, που αντιστοιχούν σε ποσοστό </w:t>
      </w:r>
      <w:r w:rsidRPr="00744153">
        <w:rPr>
          <w:rFonts w:ascii="Arial" w:hAnsi="Arial" w:cs="Arial"/>
        </w:rPr>
        <w:t>65%</w:t>
      </w:r>
      <w:r w:rsidRPr="007629B9">
        <w:rPr>
          <w:rFonts w:ascii="Arial" w:hAnsi="Arial" w:cs="Arial"/>
        </w:rPr>
        <w:t xml:space="preserve"> και για </w:t>
      </w:r>
      <w:r w:rsidR="0095391B" w:rsidRPr="007629B9">
        <w:rPr>
          <w:rFonts w:ascii="Arial" w:hAnsi="Arial" w:cs="Arial"/>
        </w:rPr>
        <w:t>[…]</w:t>
      </w:r>
      <w:r w:rsidRPr="007629B9">
        <w:rPr>
          <w:rFonts w:ascii="Arial" w:hAnsi="Arial" w:cs="Arial"/>
        </w:rPr>
        <w:t xml:space="preserve"> κυκλώματα χονδρικής.</w:t>
      </w:r>
    </w:p>
    <w:p w:rsidR="00F132EA" w:rsidRPr="007629B9" w:rsidRDefault="00F132EA" w:rsidP="00F132EA">
      <w:pPr>
        <w:spacing w:line="276" w:lineRule="auto"/>
        <w:ind w:left="567"/>
        <w:jc w:val="both"/>
        <w:rPr>
          <w:rFonts w:ascii="Arial" w:hAnsi="Arial" w:cs="Arial"/>
        </w:rPr>
      </w:pPr>
      <w:r w:rsidRPr="007629B9">
        <w:rPr>
          <w:rFonts w:ascii="Arial" w:hAnsi="Arial" w:cs="Arial"/>
          <w:lang w:val="en-US"/>
        </w:rPr>
        <w:t>H</w:t>
      </w:r>
      <w:r w:rsidRPr="007629B9">
        <w:rPr>
          <w:rFonts w:ascii="Arial" w:hAnsi="Arial" w:cs="Arial"/>
        </w:rPr>
        <w:t xml:space="preserve"> </w:t>
      </w:r>
      <w:r w:rsidRPr="007629B9">
        <w:rPr>
          <w:rFonts w:ascii="Arial" w:hAnsi="Arial" w:cs="Arial"/>
          <w:lang w:val="en-US"/>
        </w:rPr>
        <w:t>Wind</w:t>
      </w:r>
      <w:r w:rsidRPr="007629B9">
        <w:rPr>
          <w:rFonts w:ascii="Arial" w:hAnsi="Arial" w:cs="Arial"/>
        </w:rPr>
        <w:t xml:space="preserve"> δεν υπέβαλε αναλυτικά στοιχεία για τα κυκλώματα που διαθέτει σε πελάτες της σε επίπεδο λιανικής και χονδρικής, διότι –σύμφωνα με την εταιρεία- τα στοιχεία της δεν είναι συγκρίσιμα με αυτά του ΟΤΕ, καθώς δεν έχει ενιαίο κατάλογο, δεν χρησιμοποιεί προϊόντα χονδρικής του ΟΤΕ για την προσφορά υπηρεσιών σε λιανικούς της πελάτες και δεν έχει σταθερό περιθώριο μεταξύ λιανικής και χονδρικής, αφού διαφοροποιείται ανά παραγγελία.</w:t>
      </w:r>
    </w:p>
    <w:p w:rsidR="00F132EA" w:rsidRPr="007629B9" w:rsidRDefault="00F132EA" w:rsidP="00F132EA">
      <w:pPr>
        <w:spacing w:line="276" w:lineRule="auto"/>
        <w:ind w:left="567"/>
        <w:jc w:val="both"/>
        <w:rPr>
          <w:rFonts w:ascii="Arial" w:hAnsi="Arial" w:cs="Arial"/>
        </w:rPr>
      </w:pPr>
      <w:r w:rsidRPr="007629B9">
        <w:rPr>
          <w:rFonts w:ascii="Arial" w:hAnsi="Arial" w:cs="Arial"/>
        </w:rPr>
        <w:t xml:space="preserve">Η </w:t>
      </w:r>
      <w:proofErr w:type="spellStart"/>
      <w:r w:rsidRPr="007629B9">
        <w:rPr>
          <w:rFonts w:ascii="Arial" w:hAnsi="Arial" w:cs="Arial"/>
          <w:lang w:val="en-US"/>
        </w:rPr>
        <w:t>Forthnet</w:t>
      </w:r>
      <w:proofErr w:type="spellEnd"/>
      <w:r w:rsidRPr="007629B9">
        <w:rPr>
          <w:rFonts w:ascii="Arial" w:hAnsi="Arial" w:cs="Arial"/>
        </w:rPr>
        <w:t xml:space="preserve">  υπέβαλε αναλυτικά στοιχεία για </w:t>
      </w:r>
      <w:r w:rsidR="0095391B" w:rsidRPr="007629B9">
        <w:rPr>
          <w:rFonts w:ascii="Arial" w:hAnsi="Arial" w:cs="Arial"/>
        </w:rPr>
        <w:t>[…]</w:t>
      </w:r>
      <w:r w:rsidRPr="007629B9">
        <w:rPr>
          <w:rFonts w:ascii="Arial" w:hAnsi="Arial" w:cs="Arial"/>
        </w:rPr>
        <w:t xml:space="preserve"> πελάτες λιανικής και σύνολο </w:t>
      </w:r>
      <w:r w:rsidR="0095391B" w:rsidRPr="007629B9">
        <w:rPr>
          <w:rFonts w:ascii="Arial" w:hAnsi="Arial" w:cs="Arial"/>
        </w:rPr>
        <w:t>[…]</w:t>
      </w:r>
      <w:r w:rsidRPr="007629B9">
        <w:rPr>
          <w:rFonts w:ascii="Arial" w:hAnsi="Arial" w:cs="Arial"/>
        </w:rPr>
        <w:t xml:space="preserve"> κυκλώματα. Τα στοιχεία όμως δεν είναι αξιοποιήσιμα, καθώς οι τιμές που παρουσιάζονται αφορούν το σύνολο των υπηρεσιών που λαμβάνει ο λιανικός πελάτης και όχι αποκλειστικά τις μισθωμένες γραμμές. </w:t>
      </w:r>
    </w:p>
    <w:p w:rsidR="00F132EA" w:rsidRPr="007629B9" w:rsidRDefault="00F132EA" w:rsidP="00F132EA">
      <w:pPr>
        <w:spacing w:line="276" w:lineRule="auto"/>
        <w:ind w:left="567"/>
        <w:jc w:val="both"/>
        <w:rPr>
          <w:rFonts w:ascii="Arial" w:hAnsi="Arial" w:cs="Arial"/>
        </w:rPr>
      </w:pPr>
      <w:r w:rsidRPr="007629B9">
        <w:rPr>
          <w:rFonts w:ascii="Arial" w:hAnsi="Arial" w:cs="Arial"/>
        </w:rPr>
        <w:t xml:space="preserve">Από τα στοιχεία που προσκόμισαν τόσο ο ΟΤΕ όσο και η </w:t>
      </w:r>
      <w:r w:rsidRPr="007629B9">
        <w:rPr>
          <w:rFonts w:ascii="Arial" w:hAnsi="Arial" w:cs="Arial"/>
          <w:lang w:val="en-US"/>
        </w:rPr>
        <w:t>Vodafone</w:t>
      </w:r>
      <w:r w:rsidRPr="007629B9">
        <w:rPr>
          <w:rFonts w:ascii="Arial" w:hAnsi="Arial" w:cs="Arial"/>
        </w:rPr>
        <w:t xml:space="preserve"> προκύπτει ότι οι τιμές λιανικής ανά ταχύτητα κυμαίνονται σε ένα πολύ μεγάλο εύρος. Στα παρακάτω διαγράμματα παρουσιάζεται ενδεικτικά το εύρος προσφερόμενων τιμών για μισθωμένα κυκλώματα των ταχυτήτων 2, 10, 50 και 100 </w:t>
      </w:r>
      <w:r w:rsidRPr="007629B9">
        <w:rPr>
          <w:rFonts w:ascii="Arial" w:hAnsi="Arial" w:cs="Arial"/>
          <w:lang w:val="en-US"/>
        </w:rPr>
        <w:t>Mbps</w:t>
      </w:r>
      <w:r w:rsidRPr="007629B9">
        <w:rPr>
          <w:rFonts w:ascii="Arial" w:hAnsi="Arial" w:cs="Arial"/>
        </w:rPr>
        <w:t>.</w:t>
      </w:r>
    </w:p>
    <w:p w:rsidR="00F132EA" w:rsidRPr="007629B9" w:rsidRDefault="00F132EA" w:rsidP="00F132EA">
      <w:pPr>
        <w:spacing w:line="276" w:lineRule="auto"/>
        <w:ind w:left="567"/>
        <w:jc w:val="both"/>
        <w:rPr>
          <w:rFonts w:ascii="Arial" w:hAnsi="Arial" w:cs="Arial"/>
        </w:rPr>
      </w:pPr>
    </w:p>
    <w:p w:rsidR="00F132EA" w:rsidRPr="007629B9" w:rsidRDefault="00F132EA" w:rsidP="00F132EA">
      <w:pPr>
        <w:pStyle w:val="ab"/>
        <w:keepNext/>
        <w:spacing w:line="276" w:lineRule="auto"/>
        <w:ind w:left="567"/>
        <w:rPr>
          <w:rFonts w:ascii="Arial" w:hAnsi="Arial" w:cs="Arial"/>
          <w:b w:val="0"/>
        </w:rPr>
      </w:pPr>
      <w:r w:rsidRPr="007629B9">
        <w:rPr>
          <w:rFonts w:ascii="Arial" w:hAnsi="Arial" w:cs="Arial"/>
        </w:rPr>
        <w:t xml:space="preserve">Εικόνα </w:t>
      </w:r>
      <w:r w:rsidRPr="007629B9">
        <w:rPr>
          <w:rFonts w:ascii="Arial" w:hAnsi="Arial" w:cs="Arial"/>
          <w:noProof/>
        </w:rPr>
        <w:fldChar w:fldCharType="begin"/>
      </w:r>
      <w:r w:rsidRPr="007629B9">
        <w:rPr>
          <w:rFonts w:ascii="Arial" w:hAnsi="Arial" w:cs="Arial"/>
          <w:noProof/>
        </w:rPr>
        <w:instrText xml:space="preserve"> SEQ Εικόνα \* ARABIC </w:instrText>
      </w:r>
      <w:r w:rsidRPr="007629B9">
        <w:rPr>
          <w:rFonts w:ascii="Arial" w:hAnsi="Arial" w:cs="Arial"/>
          <w:noProof/>
        </w:rPr>
        <w:fldChar w:fldCharType="separate"/>
      </w:r>
      <w:r w:rsidR="00AA447F">
        <w:rPr>
          <w:rFonts w:ascii="Arial" w:hAnsi="Arial" w:cs="Arial"/>
          <w:noProof/>
        </w:rPr>
        <w:t>1</w:t>
      </w:r>
      <w:r w:rsidRPr="007629B9">
        <w:rPr>
          <w:rFonts w:ascii="Arial" w:hAnsi="Arial" w:cs="Arial"/>
          <w:noProof/>
        </w:rPr>
        <w:fldChar w:fldCharType="end"/>
      </w:r>
      <w:r w:rsidRPr="007629B9">
        <w:rPr>
          <w:rFonts w:ascii="Arial" w:hAnsi="Arial" w:cs="Arial"/>
        </w:rPr>
        <w:t>: Εύρος Τιμών Λιανικής ανά ταχύτητα (ελάχιστο-μέσο-μέγιστο) - ΟΤΕ</w:t>
      </w:r>
    </w:p>
    <w:p w:rsidR="00F132EA" w:rsidRPr="007629B9" w:rsidRDefault="0095391B" w:rsidP="00F132EA">
      <w:pPr>
        <w:spacing w:line="276" w:lineRule="auto"/>
        <w:ind w:left="567"/>
        <w:jc w:val="center"/>
        <w:rPr>
          <w:rFonts w:ascii="Arial" w:hAnsi="Arial" w:cs="Arial"/>
          <w:b/>
        </w:rPr>
      </w:pPr>
      <w:r w:rsidRPr="007629B9">
        <w:rPr>
          <w:rFonts w:ascii="Arial" w:hAnsi="Arial" w:cs="Arial"/>
        </w:rPr>
        <w:t>[…]</w:t>
      </w:r>
    </w:p>
    <w:p w:rsidR="00F132EA" w:rsidRPr="007629B9" w:rsidRDefault="00F132EA" w:rsidP="00F132EA">
      <w:pPr>
        <w:spacing w:line="276" w:lineRule="auto"/>
        <w:ind w:left="567"/>
        <w:jc w:val="both"/>
        <w:rPr>
          <w:rFonts w:ascii="Arial" w:hAnsi="Arial" w:cs="Arial"/>
          <w:b/>
        </w:rPr>
      </w:pPr>
    </w:p>
    <w:p w:rsidR="00F132EA" w:rsidRPr="007629B9" w:rsidRDefault="00F132EA" w:rsidP="00F132EA">
      <w:pPr>
        <w:pStyle w:val="ab"/>
        <w:spacing w:line="276" w:lineRule="auto"/>
        <w:ind w:left="567"/>
        <w:rPr>
          <w:rFonts w:ascii="Arial" w:hAnsi="Arial" w:cs="Arial"/>
          <w:b w:val="0"/>
        </w:rPr>
      </w:pPr>
      <w:r w:rsidRPr="007629B9">
        <w:rPr>
          <w:rFonts w:ascii="Arial" w:hAnsi="Arial" w:cs="Arial"/>
        </w:rPr>
        <w:t xml:space="preserve">Εικόνα </w:t>
      </w:r>
      <w:r w:rsidRPr="007629B9">
        <w:rPr>
          <w:rFonts w:ascii="Arial" w:hAnsi="Arial" w:cs="Arial"/>
          <w:noProof/>
        </w:rPr>
        <w:fldChar w:fldCharType="begin"/>
      </w:r>
      <w:r w:rsidRPr="007629B9">
        <w:rPr>
          <w:rFonts w:ascii="Arial" w:hAnsi="Arial" w:cs="Arial"/>
          <w:noProof/>
        </w:rPr>
        <w:instrText xml:space="preserve"> SEQ Εικόνα \* ARABIC </w:instrText>
      </w:r>
      <w:r w:rsidRPr="007629B9">
        <w:rPr>
          <w:rFonts w:ascii="Arial" w:hAnsi="Arial" w:cs="Arial"/>
          <w:noProof/>
        </w:rPr>
        <w:fldChar w:fldCharType="separate"/>
      </w:r>
      <w:r w:rsidR="00AA447F">
        <w:rPr>
          <w:rFonts w:ascii="Arial" w:hAnsi="Arial" w:cs="Arial"/>
          <w:noProof/>
        </w:rPr>
        <w:t>2</w:t>
      </w:r>
      <w:r w:rsidRPr="007629B9">
        <w:rPr>
          <w:rFonts w:ascii="Arial" w:hAnsi="Arial" w:cs="Arial"/>
          <w:noProof/>
        </w:rPr>
        <w:fldChar w:fldCharType="end"/>
      </w:r>
      <w:r w:rsidRPr="007629B9">
        <w:rPr>
          <w:rFonts w:ascii="Arial" w:hAnsi="Arial" w:cs="Arial"/>
        </w:rPr>
        <w:t>: Εύρος Τιμών Λιανικής ανά ταχύτητα (ελάχιστο-μέσο-μέγιστο)- Vodafone</w:t>
      </w:r>
    </w:p>
    <w:p w:rsidR="00F132EA" w:rsidRPr="007629B9" w:rsidRDefault="0095391B" w:rsidP="00F132EA">
      <w:pPr>
        <w:spacing w:line="276" w:lineRule="auto"/>
        <w:ind w:left="567"/>
        <w:jc w:val="center"/>
        <w:rPr>
          <w:rFonts w:ascii="Arial" w:hAnsi="Arial" w:cs="Arial"/>
          <w:b/>
        </w:rPr>
      </w:pPr>
      <w:r w:rsidRPr="007629B9">
        <w:rPr>
          <w:rFonts w:ascii="Arial" w:hAnsi="Arial" w:cs="Arial"/>
        </w:rPr>
        <w:t>[…]</w:t>
      </w:r>
    </w:p>
    <w:p w:rsidR="00F132EA" w:rsidRPr="007629B9" w:rsidRDefault="00F132EA" w:rsidP="00F132EA">
      <w:pPr>
        <w:spacing w:line="276" w:lineRule="auto"/>
        <w:ind w:left="567"/>
        <w:jc w:val="both"/>
        <w:rPr>
          <w:rFonts w:ascii="Arial" w:hAnsi="Arial" w:cs="Arial"/>
          <w:b/>
        </w:rPr>
      </w:pPr>
    </w:p>
    <w:p w:rsidR="00F132EA" w:rsidRPr="007629B9" w:rsidRDefault="00F132EA" w:rsidP="00F132EA">
      <w:pPr>
        <w:spacing w:line="276" w:lineRule="auto"/>
        <w:ind w:left="567"/>
        <w:jc w:val="both"/>
        <w:rPr>
          <w:rFonts w:ascii="Arial" w:hAnsi="Arial" w:cs="Arial"/>
        </w:rPr>
      </w:pPr>
      <w:r w:rsidRPr="007629B9">
        <w:rPr>
          <w:rFonts w:ascii="Arial" w:hAnsi="Arial" w:cs="Arial"/>
        </w:rPr>
        <w:t xml:space="preserve">Επίσης αξίζει να σημειωθεί η πτωτική τάση των χονδρικών τιμών ΜΓ όπως προκύπτουν από τον  ετήσιο κοστολογικό έλεγχο του ΟΤΕ για τα έτη 2017 – 2019. Συγκεκριμένα, όπως φαίνεται και στο ακόλουθο γράφημα, οι τιμές για τα κυκλώματα </w:t>
      </w:r>
      <w:r w:rsidRPr="007629B9">
        <w:rPr>
          <w:rFonts w:ascii="Arial" w:hAnsi="Arial" w:cs="Arial"/>
          <w:lang w:val="en-US"/>
        </w:rPr>
        <w:t>metro</w:t>
      </w:r>
      <w:r w:rsidRPr="007629B9">
        <w:rPr>
          <w:rFonts w:ascii="Arial" w:hAnsi="Arial" w:cs="Arial"/>
        </w:rPr>
        <w:t xml:space="preserve"> </w:t>
      </w:r>
      <w:r w:rsidRPr="007629B9">
        <w:rPr>
          <w:rFonts w:ascii="Arial" w:hAnsi="Arial" w:cs="Arial"/>
          <w:lang w:val="en-US"/>
        </w:rPr>
        <w:t>Ethernet</w:t>
      </w:r>
      <w:r w:rsidRPr="007629B9">
        <w:rPr>
          <w:rFonts w:ascii="Arial" w:hAnsi="Arial" w:cs="Arial"/>
        </w:rPr>
        <w:t xml:space="preserve"> μειώθηκαν από -1% έως και -133% κατά το διάστημα 2017 – 2019. Κατά μέσο όρο δε, η μείωση στις χονδρικές τιμές των κυκλωμάτων από 1 έως 200 </w:t>
      </w:r>
      <w:r w:rsidRPr="007629B9">
        <w:rPr>
          <w:rFonts w:ascii="Arial" w:hAnsi="Arial" w:cs="Arial"/>
          <w:lang w:val="en-US"/>
        </w:rPr>
        <w:t>Mbps</w:t>
      </w:r>
      <w:r w:rsidRPr="007629B9">
        <w:rPr>
          <w:rFonts w:ascii="Arial" w:hAnsi="Arial" w:cs="Arial"/>
        </w:rPr>
        <w:t xml:space="preserve"> ήταν 77%.</w:t>
      </w:r>
    </w:p>
    <w:p w:rsidR="00F132EA" w:rsidRPr="007629B9" w:rsidRDefault="00F132EA" w:rsidP="00F132EA">
      <w:pPr>
        <w:spacing w:line="276" w:lineRule="auto"/>
        <w:ind w:left="567"/>
        <w:jc w:val="both"/>
        <w:rPr>
          <w:rFonts w:ascii="Arial" w:hAnsi="Arial" w:cs="Arial"/>
        </w:rPr>
      </w:pPr>
    </w:p>
    <w:p w:rsidR="00F132EA" w:rsidRPr="007629B9" w:rsidRDefault="00F132EA" w:rsidP="00F132EA">
      <w:pPr>
        <w:pStyle w:val="ab"/>
        <w:keepNext/>
        <w:spacing w:line="276" w:lineRule="auto"/>
        <w:ind w:left="567"/>
        <w:rPr>
          <w:rFonts w:ascii="Arial" w:hAnsi="Arial" w:cs="Arial"/>
        </w:rPr>
      </w:pPr>
      <w:r w:rsidRPr="007629B9">
        <w:rPr>
          <w:rFonts w:ascii="Arial" w:hAnsi="Arial" w:cs="Arial"/>
        </w:rPr>
        <w:t xml:space="preserve">Εικόνα </w:t>
      </w:r>
      <w:r w:rsidRPr="007629B9">
        <w:rPr>
          <w:rFonts w:ascii="Arial" w:hAnsi="Arial" w:cs="Arial"/>
          <w:noProof/>
        </w:rPr>
        <w:fldChar w:fldCharType="begin"/>
      </w:r>
      <w:r w:rsidRPr="007629B9">
        <w:rPr>
          <w:rFonts w:ascii="Arial" w:hAnsi="Arial" w:cs="Arial"/>
          <w:noProof/>
        </w:rPr>
        <w:instrText xml:space="preserve"> SEQ Εικόνα \* ARABIC </w:instrText>
      </w:r>
      <w:r w:rsidRPr="007629B9">
        <w:rPr>
          <w:rFonts w:ascii="Arial" w:hAnsi="Arial" w:cs="Arial"/>
          <w:noProof/>
        </w:rPr>
        <w:fldChar w:fldCharType="separate"/>
      </w:r>
      <w:r w:rsidR="00AA447F">
        <w:rPr>
          <w:rFonts w:ascii="Arial" w:hAnsi="Arial" w:cs="Arial"/>
          <w:noProof/>
        </w:rPr>
        <w:t>3</w:t>
      </w:r>
      <w:r w:rsidRPr="007629B9">
        <w:rPr>
          <w:rFonts w:ascii="Arial" w:hAnsi="Arial" w:cs="Arial"/>
          <w:noProof/>
        </w:rPr>
        <w:fldChar w:fldCharType="end"/>
      </w:r>
      <w:r w:rsidRPr="007629B9">
        <w:rPr>
          <w:rFonts w:ascii="Arial" w:hAnsi="Arial" w:cs="Arial"/>
        </w:rPr>
        <w:t xml:space="preserve">: Διακύμανση τιμών κοστολογικού για κυκλώματα </w:t>
      </w:r>
      <w:r w:rsidRPr="007629B9">
        <w:rPr>
          <w:rFonts w:ascii="Arial" w:hAnsi="Arial" w:cs="Arial"/>
          <w:lang w:val="en-US"/>
        </w:rPr>
        <w:t>Ethernet</w:t>
      </w:r>
    </w:p>
    <w:p w:rsidR="00F132EA" w:rsidRPr="007629B9" w:rsidRDefault="00896102" w:rsidP="00F132EA">
      <w:pPr>
        <w:ind w:left="567"/>
        <w:jc w:val="both"/>
      </w:pPr>
      <w:r w:rsidRPr="007629B9">
        <w:rPr>
          <w:noProof/>
        </w:rPr>
        <w:drawing>
          <wp:inline distT="0" distB="0" distL="0" distR="0" wp14:anchorId="3276B372" wp14:editId="0ECED91C">
            <wp:extent cx="4723977" cy="3058371"/>
            <wp:effectExtent l="0" t="0" r="635" b="8890"/>
            <wp:docPr id="8" name="Γράφημα 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32EA" w:rsidRPr="007629B9" w:rsidRDefault="00F132EA" w:rsidP="001B272F">
      <w:pPr>
        <w:numPr>
          <w:ilvl w:val="0"/>
          <w:numId w:val="20"/>
        </w:numPr>
        <w:spacing w:before="120" w:after="120" w:line="276" w:lineRule="auto"/>
        <w:jc w:val="both"/>
        <w:rPr>
          <w:rFonts w:ascii="Arial" w:hAnsi="Arial" w:cs="Arial"/>
        </w:rPr>
      </w:pPr>
      <w:r w:rsidRPr="007629B9">
        <w:rPr>
          <w:rFonts w:ascii="Arial" w:hAnsi="Arial" w:cs="Arial"/>
        </w:rPr>
        <w:t>Προσδιορισμός ποσοστού για τον έλεγχο συμπίεσης περιθωρίου:</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Για την εφαρμογή του ελέγχου συμπίεσης περιθωρίου ανά προσφορά πρέπει να προσδιορισθεί η ελάχιστη αποδεκτή τιμή λιανικής ανά ταχύτητα δεδομένου ότι η τιμή χονδρικής υπόκειται σε υποχρέωση ελέγχου τιμών.</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Για παράδειγμα για τα μισθωμένα κυκλώματα 2 </w:t>
      </w:r>
      <w:proofErr w:type="spellStart"/>
      <w:r w:rsidRPr="007629B9">
        <w:rPr>
          <w:rFonts w:ascii="Arial" w:hAnsi="Arial" w:cs="Arial"/>
        </w:rPr>
        <w:t>Mbps</w:t>
      </w:r>
      <w:proofErr w:type="spellEnd"/>
      <w:r w:rsidRPr="007629B9">
        <w:rPr>
          <w:rFonts w:ascii="Arial" w:hAnsi="Arial" w:cs="Arial"/>
        </w:rPr>
        <w:t xml:space="preserve"> όπου η μέγιστη λιανική τιμή είναι στα </w:t>
      </w:r>
      <w:r w:rsidR="00896102" w:rsidRPr="007629B9">
        <w:rPr>
          <w:rFonts w:ascii="Arial" w:hAnsi="Arial" w:cs="Arial"/>
        </w:rPr>
        <w:t>[…]</w:t>
      </w:r>
      <w:r w:rsidRPr="007629B9">
        <w:rPr>
          <w:rFonts w:ascii="Arial" w:hAnsi="Arial" w:cs="Arial"/>
        </w:rPr>
        <w:t xml:space="preserve"> ευρώ, η ελάχιστη αλλά όχι μηδενική </w:t>
      </w:r>
      <w:r w:rsidR="00896102" w:rsidRPr="007629B9">
        <w:rPr>
          <w:rFonts w:ascii="Arial" w:hAnsi="Arial" w:cs="Arial"/>
        </w:rPr>
        <w:t>[…]</w:t>
      </w:r>
      <w:r w:rsidRPr="007629B9">
        <w:rPr>
          <w:rFonts w:ascii="Arial" w:hAnsi="Arial" w:cs="Arial"/>
        </w:rPr>
        <w:t xml:space="preserve">και η μέση </w:t>
      </w:r>
      <w:r w:rsidR="00896102" w:rsidRPr="007629B9">
        <w:rPr>
          <w:rFonts w:ascii="Arial" w:hAnsi="Arial" w:cs="Arial"/>
        </w:rPr>
        <w:t>[…]</w:t>
      </w:r>
      <w:r w:rsidRPr="007629B9">
        <w:rPr>
          <w:rFonts w:ascii="Arial" w:hAnsi="Arial" w:cs="Arial"/>
        </w:rPr>
        <w:t xml:space="preserve">, το ζητούμενο είναι ο προσδιορισμός της διαφοράς μεταξύ της χονδρικής και της ελάχιστης αποδεκτής τιμής λιανικής για την ταχύτητα των 2 </w:t>
      </w:r>
      <w:proofErr w:type="spellStart"/>
      <w:r w:rsidRPr="007629B9">
        <w:rPr>
          <w:rFonts w:ascii="Arial" w:hAnsi="Arial" w:cs="Arial"/>
        </w:rPr>
        <w:t>Mbps</w:t>
      </w:r>
      <w:proofErr w:type="spellEnd"/>
      <w:r w:rsidRPr="007629B9">
        <w:rPr>
          <w:rFonts w:ascii="Arial" w:hAnsi="Arial" w:cs="Arial"/>
        </w:rPr>
        <w:t>.</w:t>
      </w:r>
    </w:p>
    <w:p w:rsidR="00F132EA" w:rsidRPr="007629B9" w:rsidRDefault="00F132EA" w:rsidP="00F132EA">
      <w:pPr>
        <w:pStyle w:val="ab"/>
        <w:keepNext/>
        <w:spacing w:line="276" w:lineRule="auto"/>
        <w:ind w:left="567"/>
        <w:rPr>
          <w:rFonts w:ascii="Arial" w:hAnsi="Arial" w:cs="Arial"/>
        </w:rPr>
      </w:pPr>
      <w:r w:rsidRPr="007629B9">
        <w:rPr>
          <w:rFonts w:ascii="Arial" w:hAnsi="Arial" w:cs="Arial"/>
        </w:rPr>
        <w:t xml:space="preserve">Εικόνα 4: Διακύμανση τιμών λιανικής για κύκλωμα 2 </w:t>
      </w:r>
      <w:proofErr w:type="spellStart"/>
      <w:r w:rsidRPr="007629B9">
        <w:rPr>
          <w:rFonts w:ascii="Arial" w:hAnsi="Arial" w:cs="Arial"/>
        </w:rPr>
        <w:t>Mbps</w:t>
      </w:r>
      <w:proofErr w:type="spellEnd"/>
    </w:p>
    <w:p w:rsidR="00F132EA" w:rsidRPr="007629B9" w:rsidRDefault="00896102" w:rsidP="00744153">
      <w:pPr>
        <w:spacing w:before="120" w:after="120" w:line="276" w:lineRule="auto"/>
        <w:ind w:left="426"/>
        <w:jc w:val="center"/>
        <w:rPr>
          <w:rFonts w:ascii="Arial" w:hAnsi="Arial" w:cs="Arial"/>
        </w:rPr>
      </w:pPr>
      <w:r w:rsidRPr="007629B9">
        <w:rPr>
          <w:rFonts w:ascii="Arial" w:hAnsi="Arial" w:cs="Arial"/>
        </w:rPr>
        <w:t>[…]</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Από τα στοιχεία που έλαβε η ΕΕΤΤ από τον ΟΤΕ, με βάση τον κοστολογικό έλεγχο για το έτος 2019 και την με αριθμό πρωτοκόλλου ΕΕΤΤ 81815/3/2020 επιστολή της εταιρείας MAZARS που διενήργησε τον κοστολογικό έλεγχο του ΟΤΕ για το έτος 2019, το ύψος του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για τις μισθωμένες γραμμές ανέρχεται σε ποσοστό </w:t>
      </w:r>
      <w:r w:rsidR="00896102" w:rsidRPr="007629B9">
        <w:rPr>
          <w:rFonts w:ascii="Arial" w:hAnsi="Arial" w:cs="Arial"/>
        </w:rPr>
        <w:t>[…]</w:t>
      </w:r>
      <w:r w:rsidRPr="007629B9">
        <w:rPr>
          <w:rFonts w:ascii="Arial" w:hAnsi="Arial" w:cs="Arial"/>
        </w:rPr>
        <w:t>.</w:t>
      </w:r>
    </w:p>
    <w:p w:rsidR="00F132EA" w:rsidRPr="007629B9" w:rsidRDefault="00F132EA" w:rsidP="001B272F">
      <w:pPr>
        <w:numPr>
          <w:ilvl w:val="0"/>
          <w:numId w:val="20"/>
        </w:numPr>
        <w:spacing w:before="120" w:after="120" w:line="276" w:lineRule="auto"/>
        <w:jc w:val="both"/>
        <w:rPr>
          <w:rFonts w:ascii="Arial" w:hAnsi="Arial" w:cs="Arial"/>
        </w:rPr>
      </w:pPr>
      <w:r w:rsidRPr="007629B9">
        <w:rPr>
          <w:rFonts w:ascii="Arial" w:hAnsi="Arial" w:cs="Arial"/>
        </w:rPr>
        <w:t xml:space="preserve">Έλεγχος του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με βάση τα στοιχεία της Vodafone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Από τα στοιχεία που έχει προσκομίσει η Vodafone, προκύπτει ότι παρέχει υπηρεσίες χονδρικής αποκλειστικά μέσω οπτικής ίνας.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Για κυκλώματα ΜΓ </w:t>
      </w:r>
      <w:proofErr w:type="spellStart"/>
      <w:r w:rsidRPr="007629B9">
        <w:rPr>
          <w:rFonts w:ascii="Arial" w:hAnsi="Arial" w:cs="Arial"/>
        </w:rPr>
        <w:t>Ethernet</w:t>
      </w:r>
      <w:proofErr w:type="spellEnd"/>
      <w:r w:rsidRPr="007629B9">
        <w:rPr>
          <w:rFonts w:ascii="Arial" w:hAnsi="Arial" w:cs="Arial"/>
        </w:rPr>
        <w:t xml:space="preserve"> ταχυτήτων από 1 </w:t>
      </w:r>
      <w:proofErr w:type="spellStart"/>
      <w:r w:rsidRPr="007629B9">
        <w:rPr>
          <w:rFonts w:ascii="Arial" w:hAnsi="Arial" w:cs="Arial"/>
        </w:rPr>
        <w:t>Mbps</w:t>
      </w:r>
      <w:proofErr w:type="spellEnd"/>
      <w:r w:rsidRPr="007629B9">
        <w:rPr>
          <w:rFonts w:ascii="Arial" w:hAnsi="Arial" w:cs="Arial"/>
        </w:rPr>
        <w:t xml:space="preserve"> έως και 10 </w:t>
      </w:r>
      <w:proofErr w:type="spellStart"/>
      <w:r w:rsidRPr="007629B9">
        <w:rPr>
          <w:rFonts w:ascii="Arial" w:hAnsi="Arial" w:cs="Arial"/>
        </w:rPr>
        <w:t>Gbps</w:t>
      </w:r>
      <w:proofErr w:type="spellEnd"/>
      <w:r w:rsidRPr="007629B9">
        <w:rPr>
          <w:rFonts w:ascii="Arial" w:hAnsi="Arial" w:cs="Arial"/>
        </w:rPr>
        <w:t xml:space="preserve">, για τις οποίες υπάρχουν στοιχεία τόσο για κυκλώματα χονδρικής όσο και κυκλώματα λιανικής, διαπιστώνεται ότι υπάρχουν συγκεκριμένες κατηγορίες κυκλωμάτων, ιδίως στην χονδρική, με πολύ μικρούς όγκους, για τα οποία δεν μπορούν να εξαχθούν ασφαλή συμπεράσματα ως προς την τιμολόγησή τους.  Για το λόγο αυτό η ΕΕΤΤ εκτιμά ότι πρέπει να ληφθούν υπόψη μόνο κατηγορίες κυκλωμάτων με περισσότερα από </w:t>
      </w:r>
      <w:r w:rsidRPr="00744153">
        <w:rPr>
          <w:rFonts w:ascii="Arial" w:hAnsi="Arial" w:cs="Arial"/>
        </w:rPr>
        <w:t>10</w:t>
      </w:r>
      <w:r w:rsidRPr="007629B9">
        <w:rPr>
          <w:rFonts w:ascii="Arial" w:hAnsi="Arial" w:cs="Arial"/>
        </w:rPr>
        <w:t xml:space="preserve"> κυκλώματα τόσο στη λιανική όσο και στην χονδρική.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Προκειμένου να προσδιοριστεί η σχέση μεταξύ τιμών χονδρικής και λιανικής της Vodafone και ιδίως η σχέση χονδρικής με τη χαμηλότερη τιμή λιανικής ανά κύκλωμα, από τα στοιχεία που έχει υποβάλλει η Vodafone υπολογίζονται τα μεγέθη:</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w:t>
      </w:r>
      <w:r w:rsidRPr="007629B9">
        <w:rPr>
          <w:rFonts w:ascii="Arial" w:hAnsi="Arial" w:cs="Arial"/>
        </w:rPr>
        <w:tab/>
        <w:t xml:space="preserve">Μέση λιανική τιμή πελατών ανά ταχύτητα. Προκύπτει για κάθε ταχύτητα ως η μέση τιμή των μέσων λιανικών τιμών ανά ταχύτητα και πελάτη.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w:t>
      </w:r>
      <w:r w:rsidRPr="007629B9">
        <w:rPr>
          <w:rFonts w:ascii="Arial" w:hAnsi="Arial" w:cs="Arial"/>
        </w:rPr>
        <w:tab/>
        <w:t xml:space="preserve">Χαμηλότερη τιμή λιανικής ανά ταχύτητα. Προκύπτει ως η χαμηλότερη μέση λιανική τιμή ανά ταχύτητα και πελάτη.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w:t>
      </w:r>
      <w:r w:rsidRPr="007629B9">
        <w:rPr>
          <w:rFonts w:ascii="Arial" w:hAnsi="Arial" w:cs="Arial"/>
        </w:rPr>
        <w:tab/>
        <w:t xml:space="preserve">Δεύτερη χαμηλότερη τιμή λιανικής ανά ταχύτητα. Προκύπτει ως η δεύτερη χαμηλότερη μέση λιανική τιμή ανά ταχύτητα και πελάτη.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w:t>
      </w:r>
      <w:r w:rsidRPr="007629B9">
        <w:rPr>
          <w:rFonts w:ascii="Arial" w:hAnsi="Arial" w:cs="Arial"/>
        </w:rPr>
        <w:tab/>
        <w:t xml:space="preserve">Μέση τιμή χονδρικής ανά ταχύτητα.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Με βάση τη συγκεκριμένη προσέγγιση, προκύπτει ο ακόλουθος πίνακας 1: </w:t>
      </w:r>
    </w:p>
    <w:p w:rsidR="00F132EA" w:rsidRPr="007629B9" w:rsidRDefault="00F132EA" w:rsidP="00F132EA">
      <w:pPr>
        <w:spacing w:before="120" w:after="120" w:line="276" w:lineRule="auto"/>
        <w:ind w:left="426"/>
        <w:jc w:val="both"/>
        <w:rPr>
          <w:rFonts w:ascii="Arial" w:hAnsi="Arial" w:cs="Arial"/>
          <w:b/>
          <w:sz w:val="20"/>
          <w:szCs w:val="20"/>
        </w:rPr>
      </w:pPr>
      <w:r w:rsidRPr="007629B9">
        <w:rPr>
          <w:rFonts w:ascii="Arial" w:hAnsi="Arial" w:cs="Arial"/>
          <w:b/>
          <w:sz w:val="20"/>
          <w:szCs w:val="20"/>
        </w:rPr>
        <w:t>Πίνακας 1: Σχέση μεταξύ τιμών χονδρικής και λιανικής της Vodafone</w:t>
      </w:r>
    </w:p>
    <w:tbl>
      <w:tblPr>
        <w:tblW w:w="9258" w:type="dxa"/>
        <w:jc w:val="center"/>
        <w:tblLook w:val="04A0" w:firstRow="1" w:lastRow="0" w:firstColumn="1" w:lastColumn="0" w:noHBand="0" w:noVBand="1"/>
      </w:tblPr>
      <w:tblGrid>
        <w:gridCol w:w="967"/>
        <w:gridCol w:w="1276"/>
        <w:gridCol w:w="1270"/>
        <w:gridCol w:w="1312"/>
        <w:gridCol w:w="796"/>
        <w:gridCol w:w="1178"/>
        <w:gridCol w:w="1134"/>
        <w:gridCol w:w="1325"/>
      </w:tblGrid>
      <w:tr w:rsidR="00F132EA" w:rsidRPr="00B56001" w:rsidTr="00E71CDB">
        <w:trPr>
          <w:trHeight w:val="75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132EA" w:rsidRPr="007629B9" w:rsidRDefault="00F132EA" w:rsidP="00E71CDB">
            <w:pPr>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0" w:type="auto"/>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rPr>
            </w:pPr>
            <w:r w:rsidRPr="007629B9">
              <w:rPr>
                <w:rFonts w:ascii="Arial" w:hAnsi="Arial" w:cs="Arial"/>
                <w:b/>
                <w:bCs/>
                <w:color w:val="000000"/>
                <w:sz w:val="18"/>
                <w:szCs w:val="18"/>
              </w:rPr>
              <w:t xml:space="preserve">Vodafone </w:t>
            </w:r>
            <w:proofErr w:type="spellStart"/>
            <w:r w:rsidRPr="007629B9">
              <w:rPr>
                <w:rFonts w:ascii="Arial" w:hAnsi="Arial" w:cs="Arial"/>
                <w:b/>
                <w:bCs/>
                <w:color w:val="000000"/>
                <w:sz w:val="18"/>
                <w:szCs w:val="18"/>
              </w:rPr>
              <w:t>Customer</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p>
        </w:tc>
        <w:tc>
          <w:tcPr>
            <w:tcW w:w="0" w:type="auto"/>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Lower Customer Mean Retail </w:t>
            </w:r>
            <w:proofErr w:type="spellStart"/>
            <w:r w:rsidRPr="007629B9">
              <w:rPr>
                <w:rFonts w:ascii="Arial" w:hAnsi="Arial" w:cs="Arial"/>
                <w:b/>
                <w:bCs/>
                <w:color w:val="000000"/>
                <w:sz w:val="18"/>
                <w:szCs w:val="18"/>
                <w:lang w:val="en-US"/>
              </w:rPr>
              <w:t>Vf</w:t>
            </w:r>
            <w:proofErr w:type="spellEnd"/>
          </w:p>
        </w:tc>
        <w:tc>
          <w:tcPr>
            <w:tcW w:w="0" w:type="auto"/>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2nd Lower Customer Mean Retail </w:t>
            </w:r>
            <w:proofErr w:type="spellStart"/>
            <w:r w:rsidRPr="007629B9">
              <w:rPr>
                <w:rFonts w:ascii="Arial" w:hAnsi="Arial" w:cs="Arial"/>
                <w:b/>
                <w:bCs/>
                <w:color w:val="000000"/>
                <w:sz w:val="18"/>
                <w:szCs w:val="18"/>
                <w:lang w:val="en-US"/>
              </w:rPr>
              <w:t>Vf</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F132EA" w:rsidRPr="007629B9" w:rsidRDefault="00F132EA" w:rsidP="00E71CDB">
            <w:pPr>
              <w:jc w:val="center"/>
              <w:rPr>
                <w:rFonts w:ascii="Arial" w:hAnsi="Arial" w:cs="Arial"/>
                <w:b/>
                <w:bCs/>
                <w:color w:val="000000"/>
                <w:sz w:val="18"/>
                <w:szCs w:val="18"/>
              </w:rPr>
            </w:pPr>
            <w:r w:rsidRPr="007629B9">
              <w:rPr>
                <w:rFonts w:ascii="Arial" w:hAnsi="Arial" w:cs="Arial"/>
                <w:b/>
                <w:bCs/>
                <w:color w:val="000000"/>
                <w:sz w:val="18"/>
                <w:szCs w:val="18"/>
              </w:rPr>
              <w:t>WH VF</w:t>
            </w:r>
          </w:p>
        </w:tc>
        <w:tc>
          <w:tcPr>
            <w:tcW w:w="1178"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lang w:val="en-US"/>
              </w:rPr>
            </w:pPr>
            <w:proofErr w:type="spellStart"/>
            <w:r w:rsidRPr="007629B9">
              <w:rPr>
                <w:rFonts w:ascii="Arial" w:hAnsi="Arial" w:cs="Arial"/>
                <w:b/>
                <w:bCs/>
                <w:color w:val="000000"/>
                <w:sz w:val="18"/>
                <w:szCs w:val="18"/>
                <w:lang w:val="en-US"/>
              </w:rPr>
              <w:t>Vf</w:t>
            </w:r>
            <w:proofErr w:type="spellEnd"/>
            <w:r w:rsidRPr="007629B9">
              <w:rPr>
                <w:rFonts w:ascii="Arial" w:hAnsi="Arial" w:cs="Arial"/>
                <w:b/>
                <w:bCs/>
                <w:color w:val="000000"/>
                <w:sz w:val="18"/>
                <w:szCs w:val="18"/>
                <w:lang w:val="en-US"/>
              </w:rPr>
              <w:t xml:space="preserve"> Customer Mean Retail vs. VF Wholesale</w:t>
            </w:r>
          </w:p>
        </w:tc>
        <w:tc>
          <w:tcPr>
            <w:tcW w:w="1134"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Lower customer mean Retail </w:t>
            </w:r>
            <w:proofErr w:type="spellStart"/>
            <w:r w:rsidRPr="007629B9">
              <w:rPr>
                <w:rFonts w:ascii="Arial" w:hAnsi="Arial" w:cs="Arial"/>
                <w:b/>
                <w:bCs/>
                <w:color w:val="000000"/>
                <w:sz w:val="18"/>
                <w:szCs w:val="18"/>
                <w:lang w:val="en-US"/>
              </w:rPr>
              <w:t>Vf</w:t>
            </w:r>
            <w:proofErr w:type="spellEnd"/>
            <w:r w:rsidRPr="007629B9">
              <w:rPr>
                <w:rFonts w:ascii="Arial" w:hAnsi="Arial" w:cs="Arial"/>
                <w:b/>
                <w:bCs/>
                <w:color w:val="000000"/>
                <w:sz w:val="18"/>
                <w:szCs w:val="18"/>
                <w:lang w:val="en-US"/>
              </w:rPr>
              <w:t xml:space="preserve">/WH </w:t>
            </w:r>
            <w:proofErr w:type="spellStart"/>
            <w:r w:rsidRPr="007629B9">
              <w:rPr>
                <w:rFonts w:ascii="Arial" w:hAnsi="Arial" w:cs="Arial"/>
                <w:b/>
                <w:bCs/>
                <w:color w:val="000000"/>
                <w:sz w:val="18"/>
                <w:szCs w:val="18"/>
                <w:lang w:val="en-US"/>
              </w:rPr>
              <w:t>Vf</w:t>
            </w:r>
            <w:proofErr w:type="spellEnd"/>
          </w:p>
        </w:tc>
        <w:tc>
          <w:tcPr>
            <w:tcW w:w="1325"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2nd Lower customer mean Retail </w:t>
            </w:r>
            <w:proofErr w:type="spellStart"/>
            <w:r w:rsidRPr="007629B9">
              <w:rPr>
                <w:rFonts w:ascii="Arial" w:hAnsi="Arial" w:cs="Arial"/>
                <w:b/>
                <w:bCs/>
                <w:color w:val="000000"/>
                <w:sz w:val="18"/>
                <w:szCs w:val="18"/>
                <w:lang w:val="en-US"/>
              </w:rPr>
              <w:t>Vf</w:t>
            </w:r>
            <w:proofErr w:type="spellEnd"/>
            <w:r w:rsidRPr="007629B9">
              <w:rPr>
                <w:rFonts w:ascii="Arial" w:hAnsi="Arial" w:cs="Arial"/>
                <w:b/>
                <w:bCs/>
                <w:color w:val="000000"/>
                <w:sz w:val="18"/>
                <w:szCs w:val="18"/>
                <w:lang w:val="en-US"/>
              </w:rPr>
              <w:t xml:space="preserve">/WH </w:t>
            </w:r>
            <w:proofErr w:type="spellStart"/>
            <w:r w:rsidRPr="007629B9">
              <w:rPr>
                <w:rFonts w:ascii="Arial" w:hAnsi="Arial" w:cs="Arial"/>
                <w:b/>
                <w:bCs/>
                <w:color w:val="000000"/>
                <w:sz w:val="18"/>
                <w:szCs w:val="18"/>
                <w:lang w:val="en-US"/>
              </w:rPr>
              <w:t>Vf</w:t>
            </w:r>
            <w:proofErr w:type="spellEnd"/>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6</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20</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30</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color w:val="000000"/>
                <w:sz w:val="18"/>
                <w:szCs w:val="18"/>
              </w:rPr>
            </w:pPr>
            <w:r w:rsidRPr="007629B9">
              <w:rPr>
                <w:rFonts w:ascii="Arial" w:hAnsi="Arial" w:cs="Arial"/>
                <w:color w:val="000000"/>
                <w:sz w:val="18"/>
                <w:szCs w:val="18"/>
              </w:rPr>
              <w:t>100</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r w:rsidR="00896102" w:rsidRPr="007629B9" w:rsidTr="0074415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6102" w:rsidRPr="007629B9" w:rsidRDefault="00896102" w:rsidP="00896102">
            <w:pPr>
              <w:jc w:val="center"/>
              <w:rPr>
                <w:rFonts w:ascii="Arial" w:hAnsi="Arial" w:cs="Arial"/>
                <w:b/>
                <w:color w:val="000000"/>
                <w:sz w:val="18"/>
                <w:szCs w:val="18"/>
              </w:rPr>
            </w:pPr>
            <w:proofErr w:type="spellStart"/>
            <w:r w:rsidRPr="007629B9">
              <w:rPr>
                <w:rFonts w:ascii="Arial" w:hAnsi="Arial" w:cs="Arial"/>
                <w:b/>
                <w:color w:val="000000"/>
                <w:sz w:val="18"/>
                <w:szCs w:val="18"/>
              </w:rPr>
              <w:t>Average</w:t>
            </w:r>
            <w:proofErr w:type="spellEnd"/>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color w:val="000000"/>
                <w:sz w:val="18"/>
                <w:szCs w:val="18"/>
                <w:lang w:val="en-US"/>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178" w:type="dxa"/>
            <w:tcBorders>
              <w:top w:val="nil"/>
              <w:left w:val="nil"/>
              <w:bottom w:val="single" w:sz="4" w:space="0" w:color="auto"/>
              <w:right w:val="single" w:sz="4" w:space="0" w:color="auto"/>
            </w:tcBorders>
            <w:shd w:val="clear" w:color="auto" w:fill="auto"/>
            <w:noWrap/>
            <w:hideMark/>
          </w:tcPr>
          <w:p w:rsidR="00896102" w:rsidRPr="007629B9" w:rsidRDefault="00896102" w:rsidP="00896102">
            <w:pPr>
              <w:jc w:val="center"/>
              <w:rPr>
                <w:rFonts w:ascii="Arial" w:hAnsi="Arial" w:cs="Arial"/>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c>
          <w:tcPr>
            <w:tcW w:w="1325" w:type="dxa"/>
            <w:tcBorders>
              <w:top w:val="nil"/>
              <w:left w:val="nil"/>
              <w:bottom w:val="single" w:sz="4" w:space="0" w:color="auto"/>
              <w:right w:val="single" w:sz="4" w:space="0" w:color="auto"/>
            </w:tcBorders>
            <w:shd w:val="clear" w:color="000000" w:fill="FFFFFF"/>
            <w:noWrap/>
            <w:hideMark/>
          </w:tcPr>
          <w:p w:rsidR="00896102" w:rsidRPr="007629B9" w:rsidRDefault="00896102" w:rsidP="00896102">
            <w:pPr>
              <w:jc w:val="center"/>
              <w:rPr>
                <w:rFonts w:ascii="Arial" w:hAnsi="Arial" w:cs="Arial"/>
                <w:color w:val="000000"/>
                <w:sz w:val="18"/>
                <w:szCs w:val="18"/>
              </w:rPr>
            </w:pPr>
            <w:r w:rsidRPr="007629B9">
              <w:rPr>
                <w:rFonts w:ascii="Arial" w:hAnsi="Arial" w:cs="Arial"/>
              </w:rPr>
              <w:t>[…]</w:t>
            </w:r>
          </w:p>
        </w:tc>
      </w:tr>
    </w:tbl>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Με βάση τον ανωτέρω Πίνακα παρατηρούμε ότι:</w:t>
      </w:r>
    </w:p>
    <w:p w:rsidR="00F132EA" w:rsidRPr="007629B9" w:rsidRDefault="00F132EA" w:rsidP="00F132EA">
      <w:pPr>
        <w:pStyle w:val="ac"/>
        <w:numPr>
          <w:ilvl w:val="1"/>
          <w:numId w:val="1"/>
        </w:numPr>
        <w:spacing w:before="120" w:after="120"/>
        <w:ind w:left="851" w:hanging="425"/>
        <w:jc w:val="both"/>
        <w:rPr>
          <w:rFonts w:ascii="Arial" w:hAnsi="Arial" w:cs="Arial"/>
        </w:rPr>
      </w:pPr>
      <w:r w:rsidRPr="007629B9">
        <w:rPr>
          <w:rFonts w:ascii="Arial" w:hAnsi="Arial" w:cs="Arial"/>
        </w:rPr>
        <w:t xml:space="preserve">Οι μέσες τιμές λιανικής ανά ταχύτητα για την Vodafone σε σχέση με τις αντίστοιχες μέσες τιμές χονδρικής είναι </w:t>
      </w:r>
      <w:r w:rsidR="004C0711" w:rsidRPr="007629B9">
        <w:rPr>
          <w:rFonts w:ascii="Arial" w:hAnsi="Arial" w:cs="Arial"/>
        </w:rPr>
        <w:t>[…]</w:t>
      </w:r>
      <w:r w:rsidRPr="007629B9">
        <w:rPr>
          <w:rFonts w:ascii="Arial" w:hAnsi="Arial" w:cs="Arial"/>
        </w:rPr>
        <w:t>.</w:t>
      </w:r>
    </w:p>
    <w:p w:rsidR="00F132EA" w:rsidRPr="007629B9" w:rsidRDefault="00F132EA" w:rsidP="00F132EA">
      <w:pPr>
        <w:pStyle w:val="ac"/>
        <w:numPr>
          <w:ilvl w:val="1"/>
          <w:numId w:val="1"/>
        </w:numPr>
        <w:spacing w:before="120" w:after="120"/>
        <w:ind w:left="851" w:hanging="425"/>
        <w:jc w:val="both"/>
        <w:rPr>
          <w:rFonts w:ascii="Arial" w:hAnsi="Arial" w:cs="Arial"/>
        </w:rPr>
      </w:pPr>
      <w:r w:rsidRPr="007629B9">
        <w:rPr>
          <w:rFonts w:ascii="Arial" w:hAnsi="Arial" w:cs="Arial"/>
        </w:rPr>
        <w:t xml:space="preserve">Ο πελάτης στον οποίο η Vodafone παρέχει κατά μέσο όρο τη χαμηλότερη τιμή λιανικής για συγκεκριμένη ταχύτητα, λαμβάνει την υπηρεσία σε τιμή που είναι </w:t>
      </w:r>
      <w:r w:rsidR="008C1573" w:rsidRPr="007629B9">
        <w:rPr>
          <w:rFonts w:ascii="Arial" w:hAnsi="Arial" w:cs="Arial"/>
        </w:rPr>
        <w:t>[…]</w:t>
      </w:r>
    </w:p>
    <w:p w:rsidR="00F132EA" w:rsidRPr="007629B9" w:rsidRDefault="00F132EA" w:rsidP="00F132EA">
      <w:pPr>
        <w:pStyle w:val="ac"/>
        <w:numPr>
          <w:ilvl w:val="1"/>
          <w:numId w:val="1"/>
        </w:numPr>
        <w:spacing w:before="120" w:after="120"/>
        <w:ind w:left="851" w:hanging="425"/>
        <w:jc w:val="both"/>
        <w:rPr>
          <w:rFonts w:ascii="Arial" w:hAnsi="Arial" w:cs="Arial"/>
        </w:rPr>
      </w:pPr>
      <w:r w:rsidRPr="007629B9">
        <w:rPr>
          <w:rFonts w:ascii="Arial" w:hAnsi="Arial" w:cs="Arial"/>
        </w:rPr>
        <w:t xml:space="preserve">Το ίδιο ισχύει, για όλες τις ταχύτητες, για τους πελάτες που παίρνουν τη δεύτερη χαμηλότερη μέση τιμή λιανικής. Στην περίπτωση αυτή η τιμή λιανικής είναι </w:t>
      </w:r>
      <w:r w:rsidR="004C0711" w:rsidRPr="007629B9">
        <w:rPr>
          <w:rFonts w:ascii="Arial" w:hAnsi="Arial" w:cs="Arial"/>
        </w:rPr>
        <w:t>[…]</w:t>
      </w:r>
    </w:p>
    <w:p w:rsidR="00F132EA" w:rsidRPr="007629B9" w:rsidRDefault="00F132EA" w:rsidP="00F132EA">
      <w:pPr>
        <w:spacing w:before="120" w:after="120" w:line="276" w:lineRule="auto"/>
        <w:ind w:left="426"/>
        <w:jc w:val="both"/>
        <w:rPr>
          <w:rFonts w:ascii="Arial" w:hAnsi="Arial" w:cs="Arial"/>
        </w:rPr>
      </w:pP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Κάνοντας ανάλυση των τιμών λιανικής που προσφέρει η Vodafone ανά ταχύτητα ανά πελάτη, αγνοώντας  ταχύτητες με δείγμα μικρότερο ή ίσο των δέκα κυκλωμάτων, εάν υπολογίσουμε </w:t>
      </w:r>
      <w:proofErr w:type="spellStart"/>
      <w:r w:rsidRPr="007629B9">
        <w:rPr>
          <w:rFonts w:ascii="Arial" w:hAnsi="Arial" w:cs="Arial"/>
        </w:rPr>
        <w:t>percentile</w:t>
      </w:r>
      <w:proofErr w:type="spellEnd"/>
      <w:r w:rsidRPr="007629B9">
        <w:rPr>
          <w:rFonts w:ascii="Arial" w:hAnsi="Arial" w:cs="Arial"/>
        </w:rPr>
        <w:t xml:space="preserve"> 20% και 25% ανά ταχύτητα προκύπτουν οι τιμές του παρακάτω Πίνακα:</w:t>
      </w:r>
    </w:p>
    <w:p w:rsidR="00F132EA" w:rsidRPr="007629B9" w:rsidRDefault="00F132EA" w:rsidP="00F132EA">
      <w:pPr>
        <w:spacing w:before="120" w:after="120" w:line="276" w:lineRule="auto"/>
        <w:ind w:left="426"/>
        <w:jc w:val="both"/>
        <w:rPr>
          <w:rFonts w:ascii="Arial" w:hAnsi="Arial" w:cs="Arial"/>
          <w:b/>
          <w:sz w:val="20"/>
          <w:szCs w:val="20"/>
        </w:rPr>
      </w:pPr>
      <w:r w:rsidRPr="007629B9">
        <w:rPr>
          <w:rFonts w:ascii="Arial" w:hAnsi="Arial" w:cs="Arial"/>
          <w:b/>
          <w:sz w:val="20"/>
          <w:szCs w:val="20"/>
        </w:rPr>
        <w:t xml:space="preserve">Πίνακας 2: Σχέση μεταξύ τιμών χονδρικής και λιανικής (20% και 25% </w:t>
      </w:r>
      <w:proofErr w:type="spellStart"/>
      <w:r w:rsidRPr="007629B9">
        <w:rPr>
          <w:rFonts w:ascii="Arial" w:hAnsi="Arial" w:cs="Arial"/>
          <w:b/>
          <w:sz w:val="20"/>
          <w:szCs w:val="20"/>
        </w:rPr>
        <w:t>percentiles</w:t>
      </w:r>
      <w:proofErr w:type="spellEnd"/>
      <w:r w:rsidRPr="007629B9">
        <w:rPr>
          <w:rFonts w:ascii="Arial" w:hAnsi="Arial" w:cs="Arial"/>
          <w:b/>
          <w:sz w:val="20"/>
          <w:szCs w:val="20"/>
        </w:rPr>
        <w:t>) της Vodafone</w:t>
      </w:r>
    </w:p>
    <w:tbl>
      <w:tblPr>
        <w:tblW w:w="0" w:type="auto"/>
        <w:tblInd w:w="113" w:type="dxa"/>
        <w:tblLook w:val="04A0" w:firstRow="1" w:lastRow="0" w:firstColumn="1" w:lastColumn="0" w:noHBand="0" w:noVBand="1"/>
      </w:tblPr>
      <w:tblGrid>
        <w:gridCol w:w="967"/>
        <w:gridCol w:w="1802"/>
        <w:gridCol w:w="1802"/>
        <w:gridCol w:w="796"/>
        <w:gridCol w:w="1862"/>
        <w:gridCol w:w="1862"/>
      </w:tblGrid>
      <w:tr w:rsidR="00F132EA" w:rsidRPr="00B56001" w:rsidTr="00E71CDB">
        <w:trPr>
          <w:trHeight w:val="841"/>
        </w:trPr>
        <w:tc>
          <w:tcPr>
            <w:tcW w:w="0" w:type="auto"/>
            <w:tcBorders>
              <w:top w:val="single" w:sz="4" w:space="0" w:color="auto"/>
              <w:left w:val="single" w:sz="4" w:space="0" w:color="auto"/>
              <w:bottom w:val="nil"/>
              <w:right w:val="single" w:sz="4" w:space="0" w:color="auto"/>
            </w:tcBorders>
            <w:shd w:val="clear" w:color="000000" w:fill="FFFF00"/>
            <w:noWrap/>
            <w:vAlign w:val="bottom"/>
          </w:tcPr>
          <w:p w:rsidR="00F132EA" w:rsidRPr="007629B9" w:rsidRDefault="00F132EA" w:rsidP="00E71CDB">
            <w:pPr>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0" w:type="auto"/>
            <w:tcBorders>
              <w:top w:val="single" w:sz="4" w:space="0" w:color="auto"/>
              <w:left w:val="nil"/>
              <w:bottom w:val="nil"/>
              <w:right w:val="single" w:sz="4" w:space="0" w:color="auto"/>
            </w:tcBorders>
            <w:shd w:val="clear" w:color="000000" w:fill="FFFF00"/>
            <w:vAlign w:val="bottom"/>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per customer, percentile 20%</w:t>
            </w:r>
          </w:p>
        </w:tc>
        <w:tc>
          <w:tcPr>
            <w:tcW w:w="0" w:type="auto"/>
            <w:tcBorders>
              <w:top w:val="single" w:sz="4" w:space="0" w:color="auto"/>
              <w:left w:val="nil"/>
              <w:bottom w:val="nil"/>
              <w:right w:val="single" w:sz="4" w:space="0" w:color="auto"/>
            </w:tcBorders>
            <w:shd w:val="clear" w:color="000000" w:fill="FFFF00"/>
            <w:vAlign w:val="bottom"/>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per customer, percentile 25%</w:t>
            </w:r>
          </w:p>
        </w:tc>
        <w:tc>
          <w:tcPr>
            <w:tcW w:w="0" w:type="auto"/>
            <w:tcBorders>
              <w:top w:val="single" w:sz="4" w:space="0" w:color="auto"/>
              <w:left w:val="nil"/>
              <w:bottom w:val="nil"/>
              <w:right w:val="single" w:sz="4" w:space="0" w:color="auto"/>
            </w:tcBorders>
            <w:shd w:val="clear" w:color="000000" w:fill="FFFF00"/>
            <w:noWrap/>
            <w:vAlign w:val="bottom"/>
          </w:tcPr>
          <w:p w:rsidR="00F132EA" w:rsidRPr="007629B9" w:rsidRDefault="00F132EA" w:rsidP="00E71CDB">
            <w:pPr>
              <w:jc w:val="center"/>
              <w:rPr>
                <w:rFonts w:ascii="Arial" w:hAnsi="Arial" w:cs="Arial"/>
                <w:b/>
                <w:bCs/>
                <w:color w:val="000000"/>
                <w:sz w:val="18"/>
                <w:szCs w:val="18"/>
              </w:rPr>
            </w:pPr>
            <w:r w:rsidRPr="007629B9">
              <w:rPr>
                <w:rFonts w:ascii="Arial" w:hAnsi="Arial" w:cs="Arial"/>
                <w:b/>
                <w:bCs/>
                <w:color w:val="000000"/>
                <w:sz w:val="18"/>
                <w:szCs w:val="18"/>
              </w:rPr>
              <w:t>WH VF</w:t>
            </w:r>
          </w:p>
        </w:tc>
        <w:tc>
          <w:tcPr>
            <w:tcW w:w="0" w:type="auto"/>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percentile 20% vs. Vodafone WH</w:t>
            </w:r>
          </w:p>
        </w:tc>
        <w:tc>
          <w:tcPr>
            <w:tcW w:w="0" w:type="auto"/>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percentile 25% vs. Vodafone WH</w:t>
            </w:r>
          </w:p>
        </w:tc>
      </w:tr>
      <w:tr w:rsidR="004C0711" w:rsidRPr="007629B9" w:rsidTr="007441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2</w:t>
            </w:r>
          </w:p>
        </w:tc>
        <w:tc>
          <w:tcPr>
            <w:tcW w:w="0" w:type="auto"/>
            <w:tcBorders>
              <w:top w:val="single" w:sz="4" w:space="0" w:color="auto"/>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single" w:sz="4" w:space="0" w:color="auto"/>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single" w:sz="4" w:space="0" w:color="auto"/>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6</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20</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30</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r w:rsidRPr="007629B9">
              <w:rPr>
                <w:rFonts w:ascii="Arial"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r w:rsidR="004C0711" w:rsidRPr="007629B9" w:rsidTr="007441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C0711" w:rsidRPr="007629B9" w:rsidRDefault="004C0711" w:rsidP="004C0711">
            <w:pPr>
              <w:jc w:val="center"/>
              <w:rPr>
                <w:rFonts w:ascii="Arial" w:hAnsi="Arial" w:cs="Arial"/>
                <w:color w:val="000000"/>
                <w:sz w:val="18"/>
                <w:szCs w:val="18"/>
              </w:rPr>
            </w:pPr>
            <w:proofErr w:type="spellStart"/>
            <w:r w:rsidRPr="007629B9">
              <w:rPr>
                <w:rFonts w:ascii="Arial" w:hAnsi="Arial" w:cs="Arial"/>
                <w:color w:val="000000"/>
                <w:sz w:val="18"/>
                <w:szCs w:val="18"/>
              </w:rPr>
              <w:t>Average</w:t>
            </w:r>
            <w:proofErr w:type="spellEnd"/>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4C0711" w:rsidRPr="007629B9" w:rsidRDefault="004C0711" w:rsidP="004C0711">
            <w:pPr>
              <w:jc w:val="center"/>
              <w:rPr>
                <w:rFonts w:ascii="Arial" w:hAnsi="Arial" w:cs="Arial"/>
                <w:color w:val="000000"/>
                <w:sz w:val="18"/>
                <w:szCs w:val="18"/>
              </w:rPr>
            </w:pPr>
            <w:r w:rsidRPr="007629B9">
              <w:rPr>
                <w:rFonts w:ascii="Arial" w:hAnsi="Arial" w:cs="Arial"/>
              </w:rPr>
              <w:t>[…]</w:t>
            </w:r>
          </w:p>
        </w:tc>
      </w:tr>
    </w:tbl>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ab/>
      </w:r>
      <w:r w:rsidRPr="007629B9">
        <w:rPr>
          <w:rFonts w:ascii="Arial" w:hAnsi="Arial" w:cs="Arial"/>
        </w:rPr>
        <w:tab/>
      </w:r>
      <w:r w:rsidRPr="007629B9">
        <w:rPr>
          <w:rFonts w:ascii="Arial" w:hAnsi="Arial" w:cs="Arial"/>
        </w:rPr>
        <w:tab/>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Η τιμή </w:t>
      </w:r>
      <w:proofErr w:type="spellStart"/>
      <w:r w:rsidRPr="007629B9">
        <w:rPr>
          <w:rFonts w:ascii="Arial" w:hAnsi="Arial" w:cs="Arial"/>
        </w:rPr>
        <w:t>percentile</w:t>
      </w:r>
      <w:proofErr w:type="spellEnd"/>
      <w:r w:rsidRPr="007629B9">
        <w:rPr>
          <w:rFonts w:ascii="Arial" w:hAnsi="Arial" w:cs="Arial"/>
        </w:rPr>
        <w:t xml:space="preserve"> 20% της Vodafone ανά ταχύτητα αντιπροσωπεύει την ανώτατη τιμή την οποία η Vodafone παρέχει στο 20% των πελατών με τις μέσες φθηνότερες  γραμμές  λιανικής της αντίστοιχης ταχύτητας.</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Συγκρίνοντας τις τιμές του </w:t>
      </w:r>
      <w:proofErr w:type="spellStart"/>
      <w:r w:rsidRPr="007629B9">
        <w:rPr>
          <w:rFonts w:ascii="Arial" w:hAnsi="Arial" w:cs="Arial"/>
        </w:rPr>
        <w:t>percentile</w:t>
      </w:r>
      <w:proofErr w:type="spellEnd"/>
      <w:r w:rsidRPr="007629B9">
        <w:rPr>
          <w:rFonts w:ascii="Arial" w:hAnsi="Arial" w:cs="Arial"/>
        </w:rPr>
        <w:t xml:space="preserve"> 20% της Vodafone με τις χονδρικές τιμές της Vodafone διαπιστώνουμε ότι </w:t>
      </w:r>
      <w:r w:rsidR="004C0711" w:rsidRPr="007629B9">
        <w:rPr>
          <w:rFonts w:ascii="Arial" w:hAnsi="Arial" w:cs="Arial"/>
        </w:rPr>
        <w:t>[…]</w:t>
      </w:r>
      <w:r w:rsidRPr="007629B9">
        <w:rPr>
          <w:rFonts w:ascii="Arial" w:hAnsi="Arial" w:cs="Arial"/>
        </w:rPr>
        <w:t xml:space="preserve">. </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Εάν το </w:t>
      </w:r>
      <w:proofErr w:type="spellStart"/>
      <w:r w:rsidRPr="007629B9">
        <w:rPr>
          <w:rFonts w:ascii="Arial" w:hAnsi="Arial" w:cs="Arial"/>
        </w:rPr>
        <w:t>percentile</w:t>
      </w:r>
      <w:proofErr w:type="spellEnd"/>
      <w:r w:rsidRPr="007629B9">
        <w:rPr>
          <w:rFonts w:ascii="Arial" w:hAnsi="Arial" w:cs="Arial"/>
        </w:rPr>
        <w:t xml:space="preserve"> αυξηθεί σε 25% φαίνεται ότι </w:t>
      </w:r>
      <w:r w:rsidR="008C46F6" w:rsidRPr="007629B9">
        <w:rPr>
          <w:rFonts w:ascii="Arial" w:hAnsi="Arial" w:cs="Arial"/>
        </w:rPr>
        <w:t>[…]</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Εάν υπολογίσουμε δε, την μέση τιμή των ανωτέρω </w:t>
      </w:r>
      <w:proofErr w:type="spellStart"/>
      <w:r w:rsidRPr="007629B9">
        <w:rPr>
          <w:rFonts w:ascii="Arial" w:hAnsi="Arial" w:cs="Arial"/>
        </w:rPr>
        <w:t>percentile</w:t>
      </w:r>
      <w:proofErr w:type="spellEnd"/>
      <w:r w:rsidRPr="007629B9">
        <w:rPr>
          <w:rFonts w:ascii="Arial" w:hAnsi="Arial" w:cs="Arial"/>
        </w:rPr>
        <w:t xml:space="preserve"> 20% και 25% της Vodafone προκύπτει ότι </w:t>
      </w:r>
      <w:r w:rsidR="008C46F6" w:rsidRPr="007629B9">
        <w:rPr>
          <w:rFonts w:ascii="Arial" w:hAnsi="Arial" w:cs="Arial"/>
        </w:rPr>
        <w:t>[…]</w:t>
      </w:r>
      <w:r w:rsidRPr="007629B9">
        <w:rPr>
          <w:rFonts w:ascii="Arial" w:hAnsi="Arial" w:cs="Arial"/>
        </w:rPr>
        <w:t>.</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Από τα ανωτέρω διαπιστώνουμε ότι η εταιρεία Vodafone </w:t>
      </w:r>
      <w:r w:rsidR="008C46F6" w:rsidRPr="007629B9">
        <w:rPr>
          <w:rFonts w:ascii="Arial" w:hAnsi="Arial" w:cs="Arial"/>
        </w:rPr>
        <w:t>[…]</w:t>
      </w:r>
      <w:r w:rsidRPr="007629B9">
        <w:rPr>
          <w:rFonts w:ascii="Arial" w:hAnsi="Arial" w:cs="Arial"/>
        </w:rPr>
        <w:t xml:space="preserve">. Επειδή η αγορά των ΜΓ λειτουργεί ανά προσφορά, από τα στοιχεία που έχουν προσκομισθεί φαίνεται ότι </w:t>
      </w:r>
      <w:r w:rsidRPr="00744153">
        <w:rPr>
          <w:rFonts w:ascii="Arial" w:hAnsi="Arial" w:cs="Arial"/>
        </w:rPr>
        <w:t xml:space="preserve">η εταιρεία διαμορφώνει τις τιμές της ανά περίπτωση. Συνεπώς από τα στοιχεία που προσκομίσθηκαν δεν προκύπτει ασφαλές συμπέρασμα όσον αφορά το ύψος του </w:t>
      </w:r>
      <w:proofErr w:type="spellStart"/>
      <w:r w:rsidRPr="00744153">
        <w:rPr>
          <w:rFonts w:ascii="Arial" w:hAnsi="Arial" w:cs="Arial"/>
        </w:rPr>
        <w:t>retail</w:t>
      </w:r>
      <w:proofErr w:type="spellEnd"/>
      <w:r w:rsidRPr="00744153">
        <w:rPr>
          <w:rFonts w:ascii="Arial" w:hAnsi="Arial" w:cs="Arial"/>
        </w:rPr>
        <w:t xml:space="preserve"> </w:t>
      </w:r>
      <w:proofErr w:type="spellStart"/>
      <w:r w:rsidRPr="00744153">
        <w:rPr>
          <w:rFonts w:ascii="Arial" w:hAnsi="Arial" w:cs="Arial"/>
        </w:rPr>
        <w:t>increment</w:t>
      </w:r>
      <w:proofErr w:type="spellEnd"/>
      <w:r w:rsidRPr="00744153">
        <w:rPr>
          <w:rFonts w:ascii="Arial" w:hAnsi="Arial" w:cs="Arial"/>
        </w:rPr>
        <w:t xml:space="preserve"> το οποίο πρέπει να προστεθεί στην τιμή χονδρικής ενός εναλλακτικού </w:t>
      </w:r>
      <w:proofErr w:type="spellStart"/>
      <w:r w:rsidRPr="00744153">
        <w:rPr>
          <w:rFonts w:ascii="Arial" w:hAnsi="Arial" w:cs="Arial"/>
        </w:rPr>
        <w:t>παρόχου</w:t>
      </w:r>
      <w:proofErr w:type="spellEnd"/>
      <w:r w:rsidRPr="00744153">
        <w:rPr>
          <w:rFonts w:ascii="Arial" w:hAnsi="Arial" w:cs="Arial"/>
        </w:rPr>
        <w:t xml:space="preserve"> προκειμένου ο </w:t>
      </w:r>
      <w:proofErr w:type="spellStart"/>
      <w:r w:rsidRPr="00744153">
        <w:rPr>
          <w:rFonts w:ascii="Arial" w:hAnsi="Arial" w:cs="Arial"/>
        </w:rPr>
        <w:t>πάροχος</w:t>
      </w:r>
      <w:proofErr w:type="spellEnd"/>
      <w:r w:rsidRPr="00744153">
        <w:rPr>
          <w:rFonts w:ascii="Arial" w:hAnsi="Arial" w:cs="Arial"/>
        </w:rPr>
        <w:t xml:space="preserve"> ανακτώντας τα κόστη που σχετίζονται με δραστηριότητες λιανικής να διαμορφώσει μία ελάχιστη τιμή λιανικής.</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 xml:space="preserve">Κατά συνέπεια, δεδομένου ότι σύμφωνα με την ανωτέρω θεώρηση δεν εξάγεται ασφαλές συμπέρασμα για το ύψος του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η ΕΕΤΤ καταλήγει στο αρχικό συμπέρασμα ότι το ποσοστό  </w:t>
      </w:r>
      <w:proofErr w:type="spellStart"/>
      <w:r w:rsidRPr="007629B9">
        <w:rPr>
          <w:rFonts w:ascii="Arial" w:hAnsi="Arial" w:cs="Arial"/>
        </w:rPr>
        <w:t>ri</w:t>
      </w:r>
      <w:proofErr w:type="spellEnd"/>
      <w:r w:rsidRPr="007629B9">
        <w:rPr>
          <w:rFonts w:ascii="Arial" w:hAnsi="Arial" w:cs="Arial"/>
        </w:rPr>
        <w:t>=</w:t>
      </w:r>
      <w:r w:rsidR="008C46F6" w:rsidRPr="007629B9">
        <w:rPr>
          <w:rFonts w:ascii="Arial" w:hAnsi="Arial" w:cs="Arial"/>
        </w:rPr>
        <w:t>[…]</w:t>
      </w:r>
      <w:r w:rsidR="00A30041" w:rsidRPr="00744153">
        <w:rPr>
          <w:rFonts w:ascii="Arial" w:hAnsi="Arial" w:cs="Arial"/>
        </w:rPr>
        <w:t xml:space="preserve"> </w:t>
      </w:r>
      <w:r w:rsidRPr="007629B9">
        <w:rPr>
          <w:rFonts w:ascii="Arial" w:hAnsi="Arial" w:cs="Arial"/>
        </w:rPr>
        <w:t xml:space="preserve">που προκύπτει από τα στοιχεία του κοστολογικού ελέγχου του ΟΤΕ είναι εύλογο να ορισθεί ως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το οποίο πρέπει να προστεθεί στις τιμές χονδρικής προκειμένου να ορισθούν οι ελάχιστες αποδεκτές τιμές λιανικής του ΟΤΕ  ανά ταχύτητα/μέσο/τεχνολογία για τον έλεγχο συμπίεσης περιθωρίου, σύμφωνα με τη σχέση:</w:t>
      </w:r>
    </w:p>
    <w:p w:rsidR="00F132EA" w:rsidRPr="007629B9" w:rsidRDefault="00F132EA" w:rsidP="00203BEB">
      <w:pPr>
        <w:spacing w:before="120" w:after="120" w:line="276" w:lineRule="auto"/>
        <w:ind w:left="851" w:firstLine="294"/>
        <w:jc w:val="center"/>
        <w:rPr>
          <w:rFonts w:ascii="Arial" w:hAnsi="Arial" w:cs="Arial"/>
        </w:rPr>
      </w:pPr>
      <w:r w:rsidRPr="007629B9">
        <w:rPr>
          <w:rFonts w:ascii="Arial" w:hAnsi="Arial" w:cs="Arial"/>
        </w:rPr>
        <w:t>Λ = Χ (1+ri),</w:t>
      </w:r>
    </w:p>
    <w:p w:rsidR="00F132EA" w:rsidRPr="007629B9" w:rsidRDefault="00F132EA" w:rsidP="00F132EA">
      <w:pPr>
        <w:spacing w:before="120" w:after="120" w:line="276" w:lineRule="auto"/>
        <w:ind w:left="426"/>
        <w:jc w:val="both"/>
        <w:rPr>
          <w:rFonts w:ascii="Arial" w:hAnsi="Arial" w:cs="Arial"/>
        </w:rPr>
      </w:pPr>
      <w:r w:rsidRPr="007629B9">
        <w:rPr>
          <w:rFonts w:ascii="Arial" w:hAnsi="Arial" w:cs="Arial"/>
        </w:rPr>
        <w:t>Όπου:</w:t>
      </w:r>
    </w:p>
    <w:p w:rsidR="00F132EA" w:rsidRPr="007629B9" w:rsidRDefault="00F132EA" w:rsidP="00F132EA">
      <w:pPr>
        <w:pStyle w:val="ac"/>
        <w:numPr>
          <w:ilvl w:val="0"/>
          <w:numId w:val="9"/>
        </w:numPr>
        <w:spacing w:before="120" w:after="120"/>
        <w:jc w:val="both"/>
        <w:rPr>
          <w:rFonts w:ascii="Arial" w:hAnsi="Arial" w:cs="Arial"/>
        </w:rPr>
      </w:pPr>
      <w:r w:rsidRPr="007629B9">
        <w:rPr>
          <w:rFonts w:ascii="Arial" w:hAnsi="Arial" w:cs="Arial"/>
        </w:rPr>
        <w:t>Λ η λιανική τιμή του κυκλώματος ΜΓ,</w:t>
      </w:r>
    </w:p>
    <w:p w:rsidR="00F132EA" w:rsidRPr="007629B9" w:rsidRDefault="00F132EA" w:rsidP="00F132EA">
      <w:pPr>
        <w:pStyle w:val="ac"/>
        <w:numPr>
          <w:ilvl w:val="0"/>
          <w:numId w:val="9"/>
        </w:numPr>
        <w:spacing w:before="120" w:after="120"/>
        <w:jc w:val="both"/>
        <w:rPr>
          <w:rFonts w:ascii="Arial" w:hAnsi="Arial" w:cs="Arial"/>
        </w:rPr>
      </w:pPr>
      <w:r w:rsidRPr="007629B9">
        <w:rPr>
          <w:rFonts w:ascii="Arial" w:hAnsi="Arial" w:cs="Arial"/>
        </w:rPr>
        <w:t xml:space="preserve">Χ η χονδρική τιμή του αντίστοιχου κυκλώματος ΜΓ και </w:t>
      </w:r>
    </w:p>
    <w:p w:rsidR="00F132EA" w:rsidRPr="007629B9" w:rsidRDefault="00F132EA" w:rsidP="00F132EA">
      <w:pPr>
        <w:pStyle w:val="ac"/>
        <w:numPr>
          <w:ilvl w:val="0"/>
          <w:numId w:val="9"/>
        </w:numPr>
        <w:spacing w:before="120" w:after="120"/>
        <w:jc w:val="both"/>
        <w:rPr>
          <w:rFonts w:ascii="Arial" w:hAnsi="Arial" w:cs="Arial"/>
        </w:rPr>
      </w:pPr>
      <w:proofErr w:type="spellStart"/>
      <w:r w:rsidRPr="007629B9">
        <w:rPr>
          <w:rFonts w:ascii="Arial" w:hAnsi="Arial" w:cs="Arial"/>
        </w:rPr>
        <w:t>ri</w:t>
      </w:r>
      <w:proofErr w:type="spellEnd"/>
      <w:r w:rsidRPr="007629B9">
        <w:rPr>
          <w:rFonts w:ascii="Arial" w:hAnsi="Arial" w:cs="Arial"/>
        </w:rPr>
        <w:t xml:space="preserve"> το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w:t>
      </w:r>
    </w:p>
    <w:p w:rsidR="00F132EA" w:rsidRPr="007629B9" w:rsidRDefault="00F132EA" w:rsidP="001B272F">
      <w:pPr>
        <w:numPr>
          <w:ilvl w:val="0"/>
          <w:numId w:val="20"/>
        </w:numPr>
        <w:spacing w:before="120" w:after="120" w:line="276" w:lineRule="auto"/>
        <w:jc w:val="both"/>
        <w:rPr>
          <w:rFonts w:ascii="Arial" w:hAnsi="Arial" w:cs="Arial"/>
        </w:rPr>
      </w:pPr>
      <w:r w:rsidRPr="007629B9">
        <w:rPr>
          <w:rFonts w:ascii="Arial" w:hAnsi="Arial" w:cs="Arial"/>
        </w:rPr>
        <w:t xml:space="preserve">Προσδιορισμός Τιμών Χονδρικής </w:t>
      </w:r>
    </w:p>
    <w:p w:rsidR="00F132EA" w:rsidRPr="007629B9" w:rsidRDefault="00F132EA" w:rsidP="00F132EA">
      <w:pPr>
        <w:spacing w:line="276" w:lineRule="auto"/>
        <w:ind w:left="426"/>
        <w:jc w:val="both"/>
        <w:rPr>
          <w:rFonts w:ascii="Arial" w:hAnsi="Arial" w:cs="Arial"/>
          <w:i/>
        </w:rPr>
      </w:pPr>
      <w:r w:rsidRPr="007629B9">
        <w:rPr>
          <w:rFonts w:ascii="Arial" w:hAnsi="Arial" w:cs="Arial"/>
          <w:i/>
          <w:lang w:val="en-US"/>
        </w:rPr>
        <w:t>I</w:t>
      </w:r>
      <w:r w:rsidRPr="007629B9">
        <w:rPr>
          <w:rFonts w:ascii="Arial" w:hAnsi="Arial" w:cs="Arial"/>
          <w:i/>
        </w:rPr>
        <w:t xml:space="preserve">. Τιμές Κυκλωμάτων </w:t>
      </w:r>
      <w:r w:rsidRPr="007629B9">
        <w:rPr>
          <w:rFonts w:ascii="Arial" w:hAnsi="Arial" w:cs="Arial"/>
          <w:i/>
          <w:lang w:val="en-US"/>
        </w:rPr>
        <w:t>Ethernet</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Από τα στοιχεία που υπέβαλλε ο ΟΤΕ προκύπτει ότι το συνολικό έσοδο λιανικής για το σύνολο των πελατών ήταν υψηλότερο από το κόστος χονδρικής των αντίστοιχων κυκλωμάτων. Ειδικότερα το κόστος χονδρικής ήταν χαμηλότερο κατά </w:t>
      </w:r>
      <w:r w:rsidRPr="00744153">
        <w:rPr>
          <w:rFonts w:ascii="Arial" w:hAnsi="Arial" w:cs="Arial"/>
        </w:rPr>
        <w:t>43%</w:t>
      </w:r>
      <w:r w:rsidRPr="007629B9">
        <w:rPr>
          <w:rFonts w:ascii="Arial" w:hAnsi="Arial" w:cs="Arial"/>
        </w:rPr>
        <w:t xml:space="preserve"> από το συνολικό έσοδο λιανικής.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Επίσης από τα στοιχεία που έχει προσκομίσει ο ΟΤΕ προκύπτει ότι οι μέσες τιμές λιανικής ανά ταχύτητα είναι </w:t>
      </w:r>
      <w:r w:rsidR="00A30041" w:rsidRPr="007629B9">
        <w:rPr>
          <w:rFonts w:ascii="Arial" w:hAnsi="Arial" w:cs="Arial"/>
        </w:rPr>
        <w:t>[…]</w:t>
      </w:r>
      <w:r w:rsidRPr="007629B9">
        <w:rPr>
          <w:rFonts w:ascii="Arial" w:hAnsi="Arial" w:cs="Arial"/>
        </w:rPr>
        <w:t xml:space="preserve">. Ειδικότερα οι τιμές χονδρικής </w:t>
      </w:r>
      <w:r w:rsidR="00A30041" w:rsidRPr="007629B9">
        <w:rPr>
          <w:rFonts w:ascii="Arial" w:hAnsi="Arial" w:cs="Arial"/>
        </w:rPr>
        <w:t>[…]</w:t>
      </w:r>
      <w:r w:rsidRPr="007629B9">
        <w:rPr>
          <w:rFonts w:ascii="Arial" w:hAnsi="Arial" w:cs="Arial"/>
        </w:rPr>
        <w:t xml:space="preserve"> σε σχέση με τις μέσες τιμές  λιανικής ανά ταχύτητα, με μέσο όρο </w:t>
      </w:r>
      <w:r w:rsidRPr="00744153">
        <w:rPr>
          <w:rFonts w:ascii="Arial" w:hAnsi="Arial" w:cs="Arial"/>
        </w:rPr>
        <w:t>-46%</w:t>
      </w:r>
      <w:r w:rsidRPr="007629B9">
        <w:rPr>
          <w:rFonts w:ascii="Arial" w:hAnsi="Arial" w:cs="Arial"/>
        </w:rPr>
        <w:t>.</w:t>
      </w:r>
    </w:p>
    <w:p w:rsidR="00F132EA" w:rsidRPr="007629B9" w:rsidRDefault="00EA12EB" w:rsidP="00EA12EB">
      <w:pPr>
        <w:tabs>
          <w:tab w:val="left" w:pos="8039"/>
        </w:tabs>
        <w:spacing w:line="276" w:lineRule="auto"/>
        <w:ind w:left="426"/>
        <w:jc w:val="both"/>
        <w:rPr>
          <w:rFonts w:ascii="Arial" w:hAnsi="Arial" w:cs="Arial"/>
        </w:rPr>
      </w:pPr>
      <w:r w:rsidRPr="007629B9">
        <w:rPr>
          <w:rFonts w:ascii="Arial" w:hAnsi="Arial" w:cs="Arial"/>
        </w:rPr>
        <w:tab/>
      </w:r>
    </w:p>
    <w:p w:rsidR="00F132EA" w:rsidRPr="007629B9" w:rsidRDefault="00F132EA" w:rsidP="00F132EA">
      <w:pPr>
        <w:pStyle w:val="ab"/>
        <w:spacing w:line="276" w:lineRule="auto"/>
        <w:ind w:left="426"/>
        <w:rPr>
          <w:rFonts w:ascii="Arial" w:hAnsi="Arial" w:cs="Arial"/>
        </w:rPr>
      </w:pPr>
      <w:r w:rsidRPr="007629B9">
        <w:rPr>
          <w:rFonts w:ascii="Arial" w:hAnsi="Arial" w:cs="Arial"/>
        </w:rPr>
        <w:t xml:space="preserve">Πίνακας </w:t>
      </w:r>
      <w:r w:rsidRPr="007629B9">
        <w:rPr>
          <w:rFonts w:ascii="Arial" w:hAnsi="Arial" w:cs="Arial"/>
          <w:noProof/>
        </w:rPr>
        <w:fldChar w:fldCharType="begin"/>
      </w:r>
      <w:r w:rsidRPr="007629B9">
        <w:rPr>
          <w:rFonts w:ascii="Arial" w:hAnsi="Arial" w:cs="Arial"/>
          <w:noProof/>
        </w:rPr>
        <w:instrText xml:space="preserve"> SEQ Πίνακας \* ARABIC </w:instrText>
      </w:r>
      <w:r w:rsidRPr="007629B9">
        <w:rPr>
          <w:rFonts w:ascii="Arial" w:hAnsi="Arial" w:cs="Arial"/>
          <w:noProof/>
        </w:rPr>
        <w:fldChar w:fldCharType="separate"/>
      </w:r>
      <w:r w:rsidR="00AA447F">
        <w:rPr>
          <w:rFonts w:ascii="Arial" w:hAnsi="Arial" w:cs="Arial"/>
          <w:noProof/>
        </w:rPr>
        <w:t>1</w:t>
      </w:r>
      <w:r w:rsidRPr="007629B9">
        <w:rPr>
          <w:rFonts w:ascii="Arial" w:hAnsi="Arial" w:cs="Arial"/>
          <w:noProof/>
        </w:rPr>
        <w:fldChar w:fldCharType="end"/>
      </w:r>
      <w:r w:rsidRPr="007629B9">
        <w:rPr>
          <w:rFonts w:ascii="Arial" w:hAnsi="Arial" w:cs="Arial"/>
        </w:rPr>
        <w:t>: Σχέση μέσων τιμών λιανικής ΟΤΕ με αντίστοιχες τιμές  χονδρικής</w:t>
      </w:r>
    </w:p>
    <w:tbl>
      <w:tblPr>
        <w:tblW w:w="0" w:type="auto"/>
        <w:tblInd w:w="93" w:type="dxa"/>
        <w:tblLook w:val="04A0" w:firstRow="1" w:lastRow="0" w:firstColumn="1" w:lastColumn="0" w:noHBand="0" w:noVBand="1"/>
      </w:tblPr>
      <w:tblGrid>
        <w:gridCol w:w="1393"/>
        <w:gridCol w:w="2063"/>
        <w:gridCol w:w="1813"/>
        <w:gridCol w:w="3773"/>
      </w:tblGrid>
      <w:tr w:rsidR="00F132EA" w:rsidRPr="00B56001" w:rsidTr="00E71CDB">
        <w:trPr>
          <w:trHeight w:val="582"/>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tcPr>
          <w:p w:rsidR="00F132EA" w:rsidRPr="007629B9" w:rsidRDefault="00F132EA" w:rsidP="00E71CDB">
            <w:pPr>
              <w:spacing w:line="276" w:lineRule="auto"/>
              <w:ind w:left="426"/>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0" w:type="auto"/>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ind w:left="426"/>
              <w:jc w:val="center"/>
              <w:rPr>
                <w:rFonts w:ascii="Arial" w:hAnsi="Arial" w:cs="Arial"/>
                <w:b/>
                <w:bCs/>
                <w:color w:val="000000"/>
                <w:sz w:val="18"/>
                <w:szCs w:val="18"/>
              </w:rPr>
            </w:pP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r w:rsidRPr="007629B9">
              <w:rPr>
                <w:rFonts w:ascii="Arial" w:hAnsi="Arial" w:cs="Arial"/>
                <w:b/>
                <w:bCs/>
                <w:color w:val="000000"/>
                <w:sz w:val="18"/>
                <w:szCs w:val="18"/>
              </w:rPr>
              <w:t xml:space="preserve"> OTE</w:t>
            </w:r>
          </w:p>
        </w:tc>
        <w:tc>
          <w:tcPr>
            <w:tcW w:w="0" w:type="auto"/>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ind w:left="426"/>
              <w:jc w:val="center"/>
              <w:rPr>
                <w:rFonts w:ascii="Arial" w:hAnsi="Arial" w:cs="Arial"/>
                <w:b/>
                <w:bCs/>
                <w:color w:val="000000"/>
                <w:sz w:val="18"/>
                <w:szCs w:val="18"/>
              </w:rPr>
            </w:pPr>
            <w:r w:rsidRPr="007629B9">
              <w:rPr>
                <w:rFonts w:ascii="Arial" w:hAnsi="Arial" w:cs="Arial"/>
                <w:b/>
                <w:bCs/>
                <w:color w:val="000000"/>
                <w:sz w:val="18"/>
                <w:szCs w:val="18"/>
              </w:rPr>
              <w:t>OTE WH 2019</w:t>
            </w:r>
          </w:p>
        </w:tc>
        <w:tc>
          <w:tcPr>
            <w:tcW w:w="0" w:type="auto"/>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ind w:left="426"/>
              <w:jc w:val="center"/>
              <w:rPr>
                <w:rFonts w:ascii="Arial" w:hAnsi="Arial" w:cs="Arial"/>
                <w:b/>
                <w:bCs/>
                <w:color w:val="000000"/>
                <w:sz w:val="18"/>
                <w:szCs w:val="18"/>
                <w:lang w:val="en-US"/>
              </w:rPr>
            </w:pPr>
            <w:r w:rsidRPr="007629B9">
              <w:rPr>
                <w:rFonts w:ascii="Arial" w:hAnsi="Arial" w:cs="Arial"/>
                <w:b/>
                <w:bCs/>
                <w:color w:val="000000"/>
                <w:sz w:val="18"/>
                <w:szCs w:val="18"/>
                <w:lang w:val="en-US"/>
              </w:rPr>
              <w:t>OTE  Wholesale vs. OTE Mean Retail</w:t>
            </w:r>
          </w:p>
        </w:tc>
      </w:tr>
      <w:tr w:rsidR="00A30041" w:rsidRPr="007629B9" w:rsidTr="00E71CDB">
        <w:trPr>
          <w:trHeight w:val="274"/>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295"/>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6</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20</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30</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26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color w:val="000000"/>
                <w:sz w:val="18"/>
                <w:szCs w:val="18"/>
              </w:rPr>
              <w:t>100</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r w:rsidR="00A30041" w:rsidRPr="007629B9" w:rsidTr="00E71CD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426"/>
              <w:jc w:val="center"/>
              <w:rPr>
                <w:rFonts w:ascii="Arial" w:hAnsi="Arial" w:cs="Arial"/>
                <w:color w:val="000000"/>
                <w:sz w:val="18"/>
                <w:szCs w:val="18"/>
              </w:rPr>
            </w:pPr>
            <w:proofErr w:type="spellStart"/>
            <w:r w:rsidRPr="007629B9">
              <w:rPr>
                <w:rFonts w:ascii="Arial" w:hAnsi="Arial" w:cs="Arial"/>
                <w:color w:val="000000"/>
                <w:sz w:val="18"/>
                <w:szCs w:val="18"/>
              </w:rPr>
              <w:t>Average</w:t>
            </w:r>
            <w:proofErr w:type="spellEnd"/>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c>
          <w:tcPr>
            <w:tcW w:w="0" w:type="auto"/>
            <w:tcBorders>
              <w:top w:val="nil"/>
              <w:left w:val="nil"/>
              <w:bottom w:val="single" w:sz="4" w:space="0" w:color="auto"/>
              <w:right w:val="single" w:sz="4" w:space="0" w:color="auto"/>
            </w:tcBorders>
            <w:shd w:val="clear" w:color="auto" w:fill="auto"/>
            <w:noWrap/>
          </w:tcPr>
          <w:p w:rsidR="00A30041" w:rsidRPr="007629B9" w:rsidRDefault="00A30041" w:rsidP="00A30041">
            <w:pPr>
              <w:spacing w:line="276" w:lineRule="auto"/>
              <w:ind w:left="426"/>
              <w:jc w:val="center"/>
              <w:rPr>
                <w:rFonts w:ascii="Arial" w:hAnsi="Arial" w:cs="Arial"/>
                <w:color w:val="000000"/>
                <w:sz w:val="18"/>
                <w:szCs w:val="18"/>
              </w:rPr>
            </w:pPr>
            <w:r w:rsidRPr="007629B9">
              <w:rPr>
                <w:rFonts w:ascii="Arial" w:hAnsi="Arial" w:cs="Arial"/>
              </w:rPr>
              <w:t>[…]</w:t>
            </w:r>
          </w:p>
        </w:tc>
      </w:tr>
    </w:tbl>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Δεδομένου ότι το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ορίσθηκε σε </w:t>
      </w:r>
      <w:r w:rsidR="00A30041" w:rsidRPr="007629B9">
        <w:rPr>
          <w:rFonts w:ascii="Arial" w:hAnsi="Arial" w:cs="Arial"/>
        </w:rPr>
        <w:t>[…]</w:t>
      </w:r>
      <w:r w:rsidRPr="007629B9">
        <w:rPr>
          <w:rFonts w:ascii="Arial" w:hAnsi="Arial" w:cs="Arial"/>
        </w:rPr>
        <w:t xml:space="preserve"> δεν απαιτείται κάποια προσαρμογή στις τιμές χονδρικές του κοστολογικού ελέγχου 2019, αφού </w:t>
      </w:r>
      <w:r w:rsidRPr="00744153">
        <w:rPr>
          <w:rFonts w:ascii="Arial" w:hAnsi="Arial" w:cs="Arial"/>
        </w:rPr>
        <w:t>σε κάθε περίπτωση η διαφορά μεταξύ λιανικών και χονδρικών τιμών υπερκαλύπτει το συγκεκριμένο ποσοστό</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Επιπλέον, με βάση τα στοιχεία που έχει υποβάλλει η Vodafone διαπιστώνουμε ότι το συνολικό έσοδο λιανικής της Vodafone ήταν </w:t>
      </w:r>
      <w:r w:rsidR="00A30041" w:rsidRPr="007629B9">
        <w:rPr>
          <w:rFonts w:ascii="Arial" w:hAnsi="Arial" w:cs="Arial"/>
        </w:rPr>
        <w:t>[…]</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Επίσης εάν συγκρίνουμε τις τιμές χονδρικής του ΟΤΕ με τις μέσες τιμές λιανικής ανά ταχύτητα της Vodafone παρατηρούμε ότι οι τιμές χονδρικής του ΟΤΕ του κοστολογικού ελέγχου του 2018 είναι </w:t>
      </w:r>
      <w:r w:rsidR="00A30041" w:rsidRPr="007629B9">
        <w:rPr>
          <w:rFonts w:ascii="Arial" w:hAnsi="Arial" w:cs="Arial"/>
        </w:rPr>
        <w:t>[…]</w:t>
      </w:r>
      <w:r w:rsidRPr="007629B9">
        <w:rPr>
          <w:rFonts w:ascii="Arial" w:hAnsi="Arial" w:cs="Arial"/>
        </w:rPr>
        <w:t xml:space="preserve">, ενώ αυτές του κοστολογικού ελέγχου του 2019 είναι </w:t>
      </w:r>
      <w:r w:rsidR="00A30041" w:rsidRPr="007629B9">
        <w:rPr>
          <w:rFonts w:ascii="Arial" w:hAnsi="Arial" w:cs="Arial"/>
        </w:rPr>
        <w:t>[…]</w:t>
      </w:r>
      <w:r w:rsidRPr="007629B9">
        <w:rPr>
          <w:rFonts w:ascii="Arial" w:hAnsi="Arial" w:cs="Arial"/>
        </w:rPr>
        <w:t xml:space="preserve">. Τέλος οι τιμές  χονδρικής της Vodafone είναι </w:t>
      </w:r>
      <w:r w:rsidR="00A30041" w:rsidRPr="007629B9">
        <w:rPr>
          <w:rFonts w:ascii="Arial" w:hAnsi="Arial" w:cs="Arial"/>
        </w:rPr>
        <w:t>[…]</w:t>
      </w:r>
      <w:r w:rsidRPr="007629B9">
        <w:rPr>
          <w:rFonts w:ascii="Arial" w:hAnsi="Arial" w:cs="Arial"/>
        </w:rPr>
        <w:t xml:space="preserve"> των αντίστοιχων τιμών λιανικής της Vodafone, με μέση τιμή </w:t>
      </w:r>
      <w:r w:rsidR="00A30041" w:rsidRPr="007629B9">
        <w:rPr>
          <w:rFonts w:ascii="Arial" w:hAnsi="Arial" w:cs="Arial"/>
        </w:rPr>
        <w:t>[…]</w:t>
      </w:r>
      <w:r w:rsidRPr="007629B9">
        <w:rPr>
          <w:rFonts w:ascii="Arial" w:hAnsi="Arial" w:cs="Arial"/>
        </w:rPr>
        <w:t>.</w:t>
      </w:r>
    </w:p>
    <w:p w:rsidR="00F132EA" w:rsidRPr="007629B9" w:rsidRDefault="00F132EA" w:rsidP="00F132EA">
      <w:pPr>
        <w:spacing w:line="276" w:lineRule="auto"/>
        <w:ind w:left="426"/>
        <w:jc w:val="both"/>
        <w:rPr>
          <w:rFonts w:ascii="Arial" w:hAnsi="Arial" w:cs="Arial"/>
        </w:rPr>
      </w:pPr>
    </w:p>
    <w:p w:rsidR="00F132EA" w:rsidRPr="007629B9" w:rsidRDefault="00F132EA" w:rsidP="00F132EA">
      <w:pPr>
        <w:pStyle w:val="ab"/>
        <w:spacing w:line="276" w:lineRule="auto"/>
        <w:ind w:left="426"/>
        <w:rPr>
          <w:rFonts w:ascii="Arial" w:hAnsi="Arial" w:cs="Arial"/>
        </w:rPr>
      </w:pPr>
      <w:r w:rsidRPr="007629B9">
        <w:rPr>
          <w:rFonts w:ascii="Arial" w:hAnsi="Arial" w:cs="Arial"/>
        </w:rPr>
        <w:t xml:space="preserve">Πίνακας </w:t>
      </w:r>
      <w:r w:rsidRPr="007629B9">
        <w:rPr>
          <w:rFonts w:ascii="Arial" w:hAnsi="Arial" w:cs="Arial"/>
          <w:noProof/>
        </w:rPr>
        <w:fldChar w:fldCharType="begin"/>
      </w:r>
      <w:r w:rsidRPr="007629B9">
        <w:rPr>
          <w:rFonts w:ascii="Arial" w:hAnsi="Arial" w:cs="Arial"/>
          <w:noProof/>
        </w:rPr>
        <w:instrText xml:space="preserve"> SEQ Πίνακας \* ARABIC </w:instrText>
      </w:r>
      <w:r w:rsidRPr="007629B9">
        <w:rPr>
          <w:rFonts w:ascii="Arial" w:hAnsi="Arial" w:cs="Arial"/>
          <w:noProof/>
        </w:rPr>
        <w:fldChar w:fldCharType="separate"/>
      </w:r>
      <w:r w:rsidR="00AA447F">
        <w:rPr>
          <w:rFonts w:ascii="Arial" w:hAnsi="Arial" w:cs="Arial"/>
          <w:noProof/>
        </w:rPr>
        <w:t>2</w:t>
      </w:r>
      <w:r w:rsidRPr="007629B9">
        <w:rPr>
          <w:rFonts w:ascii="Arial" w:hAnsi="Arial" w:cs="Arial"/>
          <w:noProof/>
        </w:rPr>
        <w:fldChar w:fldCharType="end"/>
      </w:r>
      <w:r w:rsidRPr="007629B9">
        <w:rPr>
          <w:rFonts w:ascii="Arial" w:hAnsi="Arial" w:cs="Arial"/>
        </w:rPr>
        <w:t xml:space="preserve">: Σχέσεις μέσων τιμών λιανικής </w:t>
      </w:r>
      <w:r w:rsidRPr="007629B9">
        <w:rPr>
          <w:rFonts w:ascii="Arial" w:hAnsi="Arial" w:cs="Arial"/>
          <w:lang w:val="en-US"/>
        </w:rPr>
        <w:t>Vodafone</w:t>
      </w:r>
      <w:r w:rsidRPr="007629B9">
        <w:rPr>
          <w:rFonts w:ascii="Arial" w:hAnsi="Arial" w:cs="Arial"/>
        </w:rPr>
        <w:t xml:space="preserve"> με τιμές χονδρικής </w:t>
      </w:r>
      <w:r w:rsidRPr="007629B9">
        <w:rPr>
          <w:rFonts w:ascii="Arial" w:hAnsi="Arial" w:cs="Arial"/>
          <w:lang w:val="en-US"/>
        </w:rPr>
        <w:t>Vodafone</w:t>
      </w:r>
      <w:r w:rsidRPr="007629B9">
        <w:rPr>
          <w:rFonts w:ascii="Arial" w:hAnsi="Arial" w:cs="Arial"/>
        </w:rPr>
        <w:t xml:space="preserve"> και ΟΤΕ</w:t>
      </w:r>
    </w:p>
    <w:tbl>
      <w:tblPr>
        <w:tblW w:w="9073" w:type="dxa"/>
        <w:tblInd w:w="-176" w:type="dxa"/>
        <w:tblLayout w:type="fixed"/>
        <w:tblLook w:val="04A0" w:firstRow="1" w:lastRow="0" w:firstColumn="1" w:lastColumn="0" w:noHBand="0" w:noVBand="1"/>
      </w:tblPr>
      <w:tblGrid>
        <w:gridCol w:w="1080"/>
        <w:gridCol w:w="1076"/>
        <w:gridCol w:w="1134"/>
        <w:gridCol w:w="1134"/>
        <w:gridCol w:w="992"/>
        <w:gridCol w:w="1418"/>
        <w:gridCol w:w="1283"/>
        <w:gridCol w:w="956"/>
      </w:tblGrid>
      <w:tr w:rsidR="00F132EA" w:rsidRPr="00B56001" w:rsidTr="00E71CDB">
        <w:trPr>
          <w:trHeight w:val="495"/>
        </w:trPr>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132EA" w:rsidRPr="007629B9" w:rsidRDefault="00F132EA" w:rsidP="00E71CDB">
            <w:pPr>
              <w:spacing w:line="276" w:lineRule="auto"/>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1076"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rPr>
            </w:pP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r w:rsidRPr="007629B9">
              <w:rPr>
                <w:rFonts w:ascii="Arial" w:hAnsi="Arial" w:cs="Arial"/>
                <w:b/>
                <w:bCs/>
                <w:color w:val="000000"/>
                <w:sz w:val="18"/>
                <w:szCs w:val="18"/>
              </w:rPr>
              <w:t xml:space="preserve"> Vodafone</w:t>
            </w:r>
          </w:p>
        </w:tc>
        <w:tc>
          <w:tcPr>
            <w:tcW w:w="1134"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rPr>
            </w:pPr>
            <w:r w:rsidRPr="007629B9">
              <w:rPr>
                <w:rFonts w:ascii="Arial" w:hAnsi="Arial" w:cs="Arial"/>
                <w:b/>
                <w:bCs/>
                <w:color w:val="000000"/>
                <w:sz w:val="18"/>
                <w:szCs w:val="18"/>
              </w:rPr>
              <w:t>Vodafone Wholesale</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F132EA" w:rsidRPr="007629B9" w:rsidRDefault="00F132EA" w:rsidP="00E71CDB">
            <w:pPr>
              <w:spacing w:line="276" w:lineRule="auto"/>
              <w:jc w:val="center"/>
              <w:rPr>
                <w:rFonts w:ascii="Arial" w:hAnsi="Arial" w:cs="Arial"/>
                <w:b/>
                <w:bCs/>
                <w:color w:val="000000"/>
                <w:sz w:val="18"/>
                <w:szCs w:val="18"/>
              </w:rPr>
            </w:pPr>
            <w:r w:rsidRPr="007629B9">
              <w:rPr>
                <w:rFonts w:ascii="Arial" w:hAnsi="Arial" w:cs="Arial"/>
                <w:b/>
                <w:bCs/>
                <w:color w:val="000000"/>
                <w:sz w:val="18"/>
                <w:szCs w:val="18"/>
              </w:rPr>
              <w:t>OTE WH 2018</w:t>
            </w:r>
          </w:p>
        </w:tc>
        <w:tc>
          <w:tcPr>
            <w:tcW w:w="992"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rPr>
            </w:pPr>
            <w:r w:rsidRPr="007629B9">
              <w:rPr>
                <w:rFonts w:ascii="Arial" w:hAnsi="Arial" w:cs="Arial"/>
                <w:b/>
                <w:bCs/>
                <w:color w:val="000000"/>
                <w:sz w:val="18"/>
                <w:szCs w:val="18"/>
              </w:rPr>
              <w:t>OTE WH 2019</w:t>
            </w:r>
          </w:p>
        </w:tc>
        <w:tc>
          <w:tcPr>
            <w:tcW w:w="1418"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lang w:val="en-US"/>
              </w:rPr>
            </w:pPr>
            <w:proofErr w:type="spellStart"/>
            <w:r w:rsidRPr="007629B9">
              <w:rPr>
                <w:rFonts w:ascii="Arial" w:hAnsi="Arial" w:cs="Arial"/>
                <w:b/>
                <w:bCs/>
                <w:color w:val="000000"/>
                <w:sz w:val="18"/>
                <w:szCs w:val="18"/>
                <w:lang w:val="en-US"/>
              </w:rPr>
              <w:t>Vf</w:t>
            </w:r>
            <w:proofErr w:type="spellEnd"/>
            <w:r w:rsidRPr="007629B9">
              <w:rPr>
                <w:rFonts w:ascii="Arial" w:hAnsi="Arial" w:cs="Arial"/>
                <w:b/>
                <w:bCs/>
                <w:color w:val="000000"/>
                <w:sz w:val="18"/>
                <w:szCs w:val="18"/>
                <w:lang w:val="en-US"/>
              </w:rPr>
              <w:t xml:space="preserve">  Wholesale vs. </w:t>
            </w:r>
            <w:proofErr w:type="spellStart"/>
            <w:r w:rsidRPr="007629B9">
              <w:rPr>
                <w:rFonts w:ascii="Arial" w:hAnsi="Arial" w:cs="Arial"/>
                <w:b/>
                <w:bCs/>
                <w:color w:val="000000"/>
                <w:sz w:val="18"/>
                <w:szCs w:val="18"/>
                <w:lang w:val="en-US"/>
              </w:rPr>
              <w:t>Vf</w:t>
            </w:r>
            <w:proofErr w:type="spellEnd"/>
            <w:r w:rsidRPr="007629B9">
              <w:rPr>
                <w:rFonts w:ascii="Arial" w:hAnsi="Arial" w:cs="Arial"/>
                <w:b/>
                <w:bCs/>
                <w:color w:val="000000"/>
                <w:sz w:val="18"/>
                <w:szCs w:val="18"/>
                <w:lang w:val="en-US"/>
              </w:rPr>
              <w:t xml:space="preserve"> Mean retail</w:t>
            </w:r>
          </w:p>
        </w:tc>
        <w:tc>
          <w:tcPr>
            <w:tcW w:w="1283"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WH OTE 2018 vs. Retail </w:t>
            </w:r>
            <w:proofErr w:type="spellStart"/>
            <w:r w:rsidRPr="007629B9">
              <w:rPr>
                <w:rFonts w:ascii="Arial" w:hAnsi="Arial" w:cs="Arial"/>
                <w:b/>
                <w:bCs/>
                <w:color w:val="000000"/>
                <w:sz w:val="18"/>
                <w:szCs w:val="18"/>
                <w:lang w:val="en-US"/>
              </w:rPr>
              <w:t>Vf</w:t>
            </w:r>
            <w:proofErr w:type="spellEnd"/>
          </w:p>
        </w:tc>
        <w:tc>
          <w:tcPr>
            <w:tcW w:w="956" w:type="dxa"/>
            <w:tcBorders>
              <w:top w:val="single" w:sz="4" w:space="0" w:color="auto"/>
              <w:left w:val="nil"/>
              <w:bottom w:val="single" w:sz="4" w:space="0" w:color="auto"/>
              <w:right w:val="single" w:sz="4" w:space="0" w:color="auto"/>
            </w:tcBorders>
            <w:shd w:val="clear" w:color="000000" w:fill="FFFF00"/>
            <w:vAlign w:val="bottom"/>
          </w:tcPr>
          <w:p w:rsidR="00F132EA" w:rsidRPr="007629B9" w:rsidRDefault="00F132EA" w:rsidP="00E71CDB">
            <w:pPr>
              <w:spacing w:line="276" w:lineRule="auto"/>
              <w:jc w:val="center"/>
              <w:rPr>
                <w:rFonts w:ascii="Arial" w:hAnsi="Arial" w:cs="Arial"/>
                <w:b/>
                <w:bCs/>
                <w:color w:val="000000"/>
                <w:sz w:val="18"/>
                <w:szCs w:val="18"/>
                <w:lang w:val="en-US"/>
              </w:rPr>
            </w:pPr>
            <w:r w:rsidRPr="007629B9">
              <w:rPr>
                <w:rFonts w:ascii="Arial" w:hAnsi="Arial" w:cs="Arial"/>
                <w:b/>
                <w:bCs/>
                <w:color w:val="000000"/>
                <w:sz w:val="18"/>
                <w:szCs w:val="18"/>
                <w:lang w:val="en-US"/>
              </w:rPr>
              <w:t xml:space="preserve">WH OTE 2019 vs. Retail </w:t>
            </w:r>
            <w:proofErr w:type="spellStart"/>
            <w:r w:rsidRPr="007629B9">
              <w:rPr>
                <w:rFonts w:ascii="Arial" w:hAnsi="Arial" w:cs="Arial"/>
                <w:b/>
                <w:bCs/>
                <w:color w:val="000000"/>
                <w:sz w:val="18"/>
                <w:szCs w:val="18"/>
                <w:lang w:val="en-US"/>
              </w:rPr>
              <w:t>Vf</w:t>
            </w:r>
            <w:proofErr w:type="spellEnd"/>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2</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4</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6</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10</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20</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30</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50</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color w:val="000000"/>
                <w:sz w:val="18"/>
                <w:szCs w:val="18"/>
              </w:rPr>
              <w:t>100</w:t>
            </w:r>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080" w:type="dxa"/>
            <w:tcBorders>
              <w:top w:val="nil"/>
              <w:left w:val="single" w:sz="4" w:space="0" w:color="auto"/>
              <w:bottom w:val="single" w:sz="4" w:space="0" w:color="auto"/>
              <w:right w:val="single" w:sz="4" w:space="0" w:color="auto"/>
            </w:tcBorders>
            <w:shd w:val="clear" w:color="000000" w:fill="FFFFFF"/>
            <w:noWrap/>
            <w:vAlign w:val="bottom"/>
          </w:tcPr>
          <w:p w:rsidR="00A30041" w:rsidRPr="007629B9" w:rsidRDefault="00A30041" w:rsidP="00A30041">
            <w:pPr>
              <w:spacing w:line="276" w:lineRule="auto"/>
              <w:ind w:left="63"/>
              <w:rPr>
                <w:rFonts w:ascii="Arial" w:hAnsi="Arial" w:cs="Arial"/>
                <w:b/>
                <w:color w:val="000000"/>
                <w:sz w:val="18"/>
                <w:szCs w:val="18"/>
              </w:rPr>
            </w:pPr>
            <w:proofErr w:type="spellStart"/>
            <w:r w:rsidRPr="007629B9">
              <w:rPr>
                <w:rFonts w:ascii="Arial" w:hAnsi="Arial" w:cs="Arial"/>
                <w:b/>
                <w:color w:val="000000"/>
                <w:sz w:val="18"/>
                <w:szCs w:val="18"/>
              </w:rPr>
              <w:t>Average</w:t>
            </w:r>
            <w:proofErr w:type="spellEnd"/>
          </w:p>
        </w:tc>
        <w:tc>
          <w:tcPr>
            <w:tcW w:w="107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1134"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992"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1418"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1283"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c>
          <w:tcPr>
            <w:tcW w:w="956" w:type="dxa"/>
            <w:tcBorders>
              <w:top w:val="nil"/>
              <w:left w:val="nil"/>
              <w:bottom w:val="single" w:sz="4" w:space="0" w:color="auto"/>
              <w:right w:val="single" w:sz="4" w:space="0" w:color="auto"/>
            </w:tcBorders>
            <w:shd w:val="clear" w:color="000000" w:fill="FFFFFF"/>
            <w:noWrap/>
          </w:tcPr>
          <w:p w:rsidR="00A30041" w:rsidRPr="007629B9" w:rsidRDefault="00A30041" w:rsidP="00A30041">
            <w:pPr>
              <w:spacing w:line="276" w:lineRule="auto"/>
              <w:jc w:val="center"/>
              <w:rPr>
                <w:rFonts w:ascii="Arial" w:hAnsi="Arial" w:cs="Arial"/>
                <w:b/>
                <w:color w:val="000000"/>
                <w:sz w:val="18"/>
                <w:szCs w:val="18"/>
              </w:rPr>
            </w:pPr>
            <w:r w:rsidRPr="007629B9">
              <w:rPr>
                <w:rFonts w:ascii="Arial" w:hAnsi="Arial" w:cs="Arial"/>
              </w:rPr>
              <w:t>[…]</w:t>
            </w:r>
          </w:p>
        </w:tc>
      </w:tr>
    </w:tbl>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Τα ανωτέρω στοιχεία αγοράς επιβεβαιώνουν ότι στην αγορά μισθωμένων γραμμών οι τιμές χονδρικής είναι κατά μέσο όρο </w:t>
      </w:r>
      <w:r w:rsidR="00A30041" w:rsidRPr="007629B9">
        <w:rPr>
          <w:rFonts w:ascii="Arial" w:hAnsi="Arial" w:cs="Arial"/>
        </w:rPr>
        <w:t>[…]</w:t>
      </w:r>
      <w:r w:rsidR="00A30041" w:rsidRPr="00744153">
        <w:rPr>
          <w:rFonts w:ascii="Arial" w:hAnsi="Arial" w:cs="Arial"/>
        </w:rPr>
        <w:t xml:space="preserve"> </w:t>
      </w:r>
      <w:r w:rsidRPr="007629B9">
        <w:rPr>
          <w:rFonts w:ascii="Arial" w:hAnsi="Arial" w:cs="Arial"/>
        </w:rPr>
        <w:t xml:space="preserve">των μέσων τιμών λιανικής. </w:t>
      </w:r>
    </w:p>
    <w:p w:rsidR="00F132EA" w:rsidRPr="007629B9" w:rsidRDefault="00A30041" w:rsidP="00F132EA">
      <w:pPr>
        <w:spacing w:line="276" w:lineRule="auto"/>
        <w:ind w:left="426"/>
        <w:jc w:val="both"/>
        <w:rPr>
          <w:rFonts w:ascii="Arial" w:hAnsi="Arial" w:cs="Arial"/>
        </w:rPr>
      </w:pPr>
      <w:r w:rsidRPr="007629B9">
        <w:rPr>
          <w:rFonts w:ascii="Arial" w:hAnsi="Arial" w:cs="Arial"/>
        </w:rPr>
        <w:t>[…]</w:t>
      </w:r>
      <w:r w:rsidR="00F132EA"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Με βάση τα ανωτέρω η ΕΕΤΤ θεωρεί ότι οι τιμές του κοστολογικού του 2019, οι οποίες κατά μέσο όρο είναι </w:t>
      </w:r>
      <w:r w:rsidRPr="00744153">
        <w:rPr>
          <w:rFonts w:ascii="Arial" w:hAnsi="Arial" w:cs="Arial"/>
        </w:rPr>
        <w:t>46%</w:t>
      </w:r>
      <w:r w:rsidRPr="007629B9">
        <w:rPr>
          <w:rFonts w:ascii="Arial" w:hAnsi="Arial" w:cs="Arial"/>
        </w:rPr>
        <w:t xml:space="preserve"> χαμηλότερες από τις αντίστοιχες μέσες τιμές λιανικής και ταυτόχρονα, βάσει αυτών, το συνολικό  κόστος χονδρικής είναι </w:t>
      </w:r>
      <w:r w:rsidRPr="00744153">
        <w:rPr>
          <w:rFonts w:ascii="Arial" w:hAnsi="Arial" w:cs="Arial"/>
        </w:rPr>
        <w:t>43%</w:t>
      </w:r>
      <w:r w:rsidRPr="007629B9">
        <w:rPr>
          <w:rFonts w:ascii="Arial" w:hAnsi="Arial" w:cs="Arial"/>
        </w:rPr>
        <w:t xml:space="preserve"> χαμηλότερο από το συνολικό έσοδο λιανικής, μπορούν να γίνουν δεκτές ως προσωρινές ανώτατες τιμές χονδρικής μέχρι την ολοκλήρωση του </w:t>
      </w:r>
      <w:r w:rsidRPr="007629B9">
        <w:rPr>
          <w:rFonts w:ascii="Arial" w:hAnsi="Arial" w:cs="Arial"/>
          <w:lang w:val="en-US"/>
        </w:rPr>
        <w:t>bottom</w:t>
      </w:r>
      <w:r w:rsidRPr="007629B9">
        <w:rPr>
          <w:rFonts w:ascii="Arial" w:hAnsi="Arial" w:cs="Arial"/>
        </w:rPr>
        <w:t xml:space="preserve"> </w:t>
      </w:r>
      <w:r w:rsidRPr="007629B9">
        <w:rPr>
          <w:rFonts w:ascii="Arial" w:hAnsi="Arial" w:cs="Arial"/>
          <w:lang w:val="en-US"/>
        </w:rPr>
        <w:t>up</w:t>
      </w:r>
      <w:r w:rsidRPr="007629B9">
        <w:rPr>
          <w:rFonts w:ascii="Arial" w:hAnsi="Arial" w:cs="Arial"/>
        </w:rPr>
        <w:t xml:space="preserve"> μοντέλου. </w:t>
      </w:r>
    </w:p>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rPr>
      </w:pPr>
      <w:r w:rsidRPr="007629B9">
        <w:rPr>
          <w:rFonts w:ascii="Arial" w:hAnsi="Arial" w:cs="Arial"/>
          <w:i/>
        </w:rPr>
        <w:t xml:space="preserve">ΙΙ. Τιμές Κυκλωμάτων </w:t>
      </w:r>
      <w:r w:rsidRPr="007629B9">
        <w:rPr>
          <w:rFonts w:ascii="Arial" w:hAnsi="Arial" w:cs="Arial"/>
          <w:i/>
          <w:lang w:val="en-US"/>
        </w:rPr>
        <w:t>Ethernet</w:t>
      </w:r>
      <w:r w:rsidRPr="007629B9">
        <w:rPr>
          <w:rFonts w:ascii="Arial" w:hAnsi="Arial" w:cs="Arial"/>
          <w:i/>
        </w:rPr>
        <w:t xml:space="preserve"> άνω των 200 </w:t>
      </w:r>
      <w:r w:rsidRPr="007629B9">
        <w:rPr>
          <w:rFonts w:ascii="Arial" w:hAnsi="Arial" w:cs="Arial"/>
          <w:i/>
          <w:lang w:val="en-US"/>
        </w:rPr>
        <w:t>Mbps</w:t>
      </w:r>
      <w:r w:rsidRPr="007629B9">
        <w:rPr>
          <w:rFonts w:ascii="Arial" w:hAnsi="Arial" w:cs="Arial"/>
          <w:i/>
        </w:rPr>
        <w:t xml:space="preserve"> για τις οποίες ο ετήσιος κοστολογικός έλεγχος 2019 δεν έχει εξάγει χονδρικές τιμές</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Στον παρακάτω Πίνακα παρουσιάζονται οι τιμές ανά άκρο λιανικής ΟΤΕ για αστικά κυκλώματα </w:t>
      </w:r>
      <w:r w:rsidRPr="007629B9">
        <w:rPr>
          <w:rFonts w:ascii="Arial" w:hAnsi="Arial" w:cs="Arial"/>
          <w:lang w:val="en-US"/>
        </w:rPr>
        <w:t>Ethernet</w:t>
      </w:r>
      <w:r w:rsidRPr="007629B9">
        <w:rPr>
          <w:rFonts w:ascii="Arial" w:hAnsi="Arial" w:cs="Arial"/>
        </w:rPr>
        <w:t xml:space="preserve"> άνω των 200 </w:t>
      </w:r>
      <w:r w:rsidRPr="007629B9">
        <w:rPr>
          <w:rFonts w:ascii="Arial" w:hAnsi="Arial" w:cs="Arial"/>
          <w:lang w:val="en-US"/>
        </w:rPr>
        <w:t>Mbps</w:t>
      </w:r>
      <w:r w:rsidRPr="007629B9">
        <w:rPr>
          <w:rFonts w:ascii="Arial" w:hAnsi="Arial" w:cs="Arial"/>
        </w:rPr>
        <w:t xml:space="preserve">, τα οποία δεν υπόκεινται σε υποχρέωση ελέγχου τιμών.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Όπως και στην περίπτωση των κυκλωμάτων μέχρι 200 </w:t>
      </w:r>
      <w:r w:rsidRPr="007629B9">
        <w:rPr>
          <w:rFonts w:ascii="Arial" w:hAnsi="Arial" w:cs="Arial"/>
          <w:lang w:val="en-US"/>
        </w:rPr>
        <w:t>Mbps</w:t>
      </w:r>
      <w:r w:rsidRPr="007629B9">
        <w:rPr>
          <w:rFonts w:ascii="Arial" w:hAnsi="Arial" w:cs="Arial"/>
        </w:rPr>
        <w:t xml:space="preserve"> υπάρχουν ταχύτητες με μικρούς όγκους (λιγότερους των 10 κυκλωμάτων) για τις οποίες δεν μπορούν να εξαχθούν ασφαλή συμπεράσματα ως προς την τιμολόγησή τους.</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Το ίδιο ισχύει και για τη σύγκριση τιμών λιανικής ΟΤΕ και Vodafone για τις ταχύτητες των </w:t>
      </w:r>
      <w:r w:rsidR="00A30041" w:rsidRPr="007629B9">
        <w:rPr>
          <w:rFonts w:ascii="Arial" w:hAnsi="Arial" w:cs="Arial"/>
        </w:rPr>
        <w:t>[…]</w:t>
      </w:r>
      <w:proofErr w:type="spellStart"/>
      <w:r w:rsidRPr="007629B9">
        <w:rPr>
          <w:rFonts w:ascii="Arial" w:hAnsi="Arial" w:cs="Arial"/>
        </w:rPr>
        <w:t>Mbps</w:t>
      </w:r>
      <w:proofErr w:type="spellEnd"/>
      <w:r w:rsidRPr="007629B9">
        <w:rPr>
          <w:rFonts w:ascii="Arial" w:hAnsi="Arial" w:cs="Arial"/>
        </w:rPr>
        <w:t>, δεδομένου του πολύ μικρού αριθμού κυκλωμάτων λιανικής που παρέχει η Vodafone.</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Για τον προσδιορισμό των τιμών χονδρικής για κυκλώματα άνω των 200 </w:t>
      </w:r>
      <w:r w:rsidRPr="007629B9">
        <w:rPr>
          <w:rFonts w:ascii="Arial" w:hAnsi="Arial" w:cs="Arial"/>
          <w:lang w:val="en-US"/>
        </w:rPr>
        <w:t>Mbps</w:t>
      </w:r>
      <w:r w:rsidRPr="007629B9">
        <w:rPr>
          <w:rFonts w:ascii="Arial" w:hAnsi="Arial" w:cs="Arial"/>
        </w:rPr>
        <w:t xml:space="preserve">, η ΕΕΤΤ θεωρεί εύλογο και αναλογικό να εφαρμοσθεί η μέση διαφορά </w:t>
      </w:r>
      <w:r w:rsidRPr="00744153">
        <w:rPr>
          <w:rFonts w:ascii="Arial" w:hAnsi="Arial" w:cs="Arial"/>
        </w:rPr>
        <w:t>46%</w:t>
      </w:r>
      <w:r w:rsidRPr="007629B9">
        <w:rPr>
          <w:rFonts w:ascii="Arial" w:hAnsi="Arial" w:cs="Arial"/>
        </w:rPr>
        <w:t xml:space="preserve"> των μέσων τιμών λιανικής ανά ταχύτητα από τις αντίστοιχες τιμές χονδρικής ανά ταχύτητα που παρατηρείται στα ενσύρματα κυκλώματα </w:t>
      </w:r>
      <w:r w:rsidRPr="007629B9">
        <w:rPr>
          <w:rFonts w:ascii="Arial" w:hAnsi="Arial" w:cs="Arial"/>
          <w:lang w:val="en-US"/>
        </w:rPr>
        <w:t>Ethernet</w:t>
      </w:r>
      <w:r w:rsidRPr="007629B9">
        <w:rPr>
          <w:rFonts w:ascii="Arial" w:hAnsi="Arial" w:cs="Arial"/>
        </w:rPr>
        <w:t xml:space="preserve"> ταχυτήτων μικρότερων ή ίσων των 200 </w:t>
      </w:r>
      <w:r w:rsidRPr="007629B9">
        <w:rPr>
          <w:rFonts w:ascii="Arial" w:hAnsi="Arial" w:cs="Arial"/>
          <w:lang w:val="en-US"/>
        </w:rPr>
        <w:t>Mbps</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p>
    <w:p w:rsidR="00F132EA" w:rsidRPr="007629B9" w:rsidRDefault="00F132EA" w:rsidP="00F132EA">
      <w:pPr>
        <w:pStyle w:val="ab"/>
        <w:spacing w:line="276" w:lineRule="auto"/>
        <w:ind w:left="426"/>
        <w:rPr>
          <w:rFonts w:ascii="Arial" w:hAnsi="Arial" w:cs="Arial"/>
        </w:rPr>
      </w:pPr>
      <w:r w:rsidRPr="007629B9">
        <w:rPr>
          <w:rFonts w:ascii="Arial" w:hAnsi="Arial" w:cs="Arial"/>
        </w:rPr>
        <w:t xml:space="preserve">Πίνακας </w:t>
      </w:r>
      <w:r w:rsidRPr="007629B9">
        <w:rPr>
          <w:rFonts w:ascii="Arial" w:hAnsi="Arial" w:cs="Arial"/>
          <w:noProof/>
        </w:rPr>
        <w:fldChar w:fldCharType="begin"/>
      </w:r>
      <w:r w:rsidRPr="007629B9">
        <w:rPr>
          <w:rFonts w:ascii="Arial" w:hAnsi="Arial" w:cs="Arial"/>
          <w:noProof/>
        </w:rPr>
        <w:instrText xml:space="preserve"> SEQ Πίνακας \* ARABIC </w:instrText>
      </w:r>
      <w:r w:rsidRPr="007629B9">
        <w:rPr>
          <w:rFonts w:ascii="Arial" w:hAnsi="Arial" w:cs="Arial"/>
          <w:noProof/>
        </w:rPr>
        <w:fldChar w:fldCharType="separate"/>
      </w:r>
      <w:r w:rsidR="00AA447F">
        <w:rPr>
          <w:rFonts w:ascii="Arial" w:hAnsi="Arial" w:cs="Arial"/>
          <w:noProof/>
        </w:rPr>
        <w:t>3</w:t>
      </w:r>
      <w:r w:rsidRPr="007629B9">
        <w:rPr>
          <w:rFonts w:ascii="Arial" w:hAnsi="Arial" w:cs="Arial"/>
          <w:noProof/>
        </w:rPr>
        <w:fldChar w:fldCharType="end"/>
      </w:r>
      <w:r w:rsidRPr="007629B9">
        <w:rPr>
          <w:rFonts w:ascii="Arial" w:hAnsi="Arial" w:cs="Arial"/>
        </w:rPr>
        <w:t xml:space="preserve">: Αριθμός κυκλωμάτων και τιμές κυκλωμάτων ΟΤΕ με χωρητικότητα μεγαλύτερη από 200 </w:t>
      </w:r>
      <w:r w:rsidRPr="007629B9">
        <w:rPr>
          <w:rFonts w:ascii="Arial" w:hAnsi="Arial" w:cs="Arial"/>
          <w:lang w:val="en-US"/>
        </w:rPr>
        <w:t>Mbps</w:t>
      </w:r>
    </w:p>
    <w:tbl>
      <w:tblPr>
        <w:tblW w:w="8220" w:type="dxa"/>
        <w:tblInd w:w="93" w:type="dxa"/>
        <w:tblLook w:val="04A0" w:firstRow="1" w:lastRow="0" w:firstColumn="1" w:lastColumn="0" w:noHBand="0" w:noVBand="1"/>
      </w:tblPr>
      <w:tblGrid>
        <w:gridCol w:w="1700"/>
        <w:gridCol w:w="1888"/>
        <w:gridCol w:w="1843"/>
        <w:gridCol w:w="2789"/>
      </w:tblGrid>
      <w:tr w:rsidR="00F132EA" w:rsidRPr="007629B9" w:rsidTr="00E71CDB">
        <w:trPr>
          <w:trHeight w:val="600"/>
        </w:trPr>
        <w:tc>
          <w:tcPr>
            <w:tcW w:w="17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132EA" w:rsidRPr="007629B9" w:rsidRDefault="00F132EA" w:rsidP="00E71CDB">
            <w:pPr>
              <w:spacing w:line="276" w:lineRule="auto"/>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1888" w:type="dxa"/>
            <w:tcBorders>
              <w:top w:val="single" w:sz="4" w:space="0" w:color="auto"/>
              <w:left w:val="nil"/>
              <w:bottom w:val="single" w:sz="4" w:space="0" w:color="auto"/>
              <w:right w:val="single" w:sz="4" w:space="0" w:color="auto"/>
            </w:tcBorders>
            <w:shd w:val="clear" w:color="000000" w:fill="FFFF00"/>
            <w:noWrap/>
            <w:vAlign w:val="bottom"/>
            <w:hideMark/>
          </w:tcPr>
          <w:p w:rsidR="00F132EA" w:rsidRPr="007629B9" w:rsidRDefault="00F132EA" w:rsidP="00E71CDB">
            <w:pPr>
              <w:spacing w:line="276" w:lineRule="auto"/>
              <w:jc w:val="center"/>
              <w:rPr>
                <w:rFonts w:ascii="Arial" w:hAnsi="Arial" w:cs="Arial"/>
                <w:b/>
                <w:bCs/>
                <w:color w:val="000000"/>
                <w:sz w:val="18"/>
                <w:szCs w:val="18"/>
              </w:rPr>
            </w:pPr>
            <w:r w:rsidRPr="007629B9">
              <w:rPr>
                <w:rFonts w:ascii="Arial" w:hAnsi="Arial" w:cs="Arial"/>
                <w:b/>
                <w:bCs/>
                <w:color w:val="000000"/>
                <w:sz w:val="18"/>
                <w:szCs w:val="18"/>
              </w:rPr>
              <w:t xml:space="preserve">OTE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p>
        </w:tc>
        <w:tc>
          <w:tcPr>
            <w:tcW w:w="1843" w:type="dxa"/>
            <w:tcBorders>
              <w:top w:val="single" w:sz="4" w:space="0" w:color="auto"/>
              <w:left w:val="nil"/>
              <w:bottom w:val="single" w:sz="4" w:space="0" w:color="auto"/>
              <w:right w:val="single" w:sz="4" w:space="0" w:color="auto"/>
            </w:tcBorders>
            <w:shd w:val="clear" w:color="000000" w:fill="FFFF00"/>
            <w:noWrap/>
            <w:vAlign w:val="bottom"/>
            <w:hideMark/>
          </w:tcPr>
          <w:p w:rsidR="00F132EA" w:rsidRPr="007629B9" w:rsidRDefault="00F132EA" w:rsidP="00E71CDB">
            <w:pPr>
              <w:spacing w:line="276" w:lineRule="auto"/>
              <w:ind w:left="-108"/>
              <w:jc w:val="center"/>
              <w:rPr>
                <w:rFonts w:ascii="Arial" w:hAnsi="Arial" w:cs="Arial"/>
                <w:b/>
                <w:bCs/>
                <w:color w:val="000000"/>
                <w:sz w:val="18"/>
                <w:szCs w:val="18"/>
              </w:rPr>
            </w:pPr>
            <w:r w:rsidRPr="007629B9">
              <w:rPr>
                <w:rFonts w:ascii="Arial" w:hAnsi="Arial" w:cs="Arial"/>
                <w:b/>
                <w:bCs/>
                <w:color w:val="000000"/>
                <w:sz w:val="18"/>
                <w:szCs w:val="18"/>
              </w:rPr>
              <w:t>OTE Number</w:t>
            </w:r>
          </w:p>
        </w:tc>
        <w:tc>
          <w:tcPr>
            <w:tcW w:w="2789"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34"/>
              <w:jc w:val="center"/>
              <w:rPr>
                <w:rFonts w:ascii="Arial" w:hAnsi="Arial" w:cs="Arial"/>
                <w:b/>
                <w:bCs/>
                <w:color w:val="000000"/>
                <w:sz w:val="18"/>
                <w:szCs w:val="18"/>
              </w:rPr>
            </w:pPr>
            <w:r w:rsidRPr="007629B9">
              <w:rPr>
                <w:rFonts w:ascii="Arial" w:hAnsi="Arial" w:cs="Arial"/>
                <w:b/>
                <w:bCs/>
                <w:color w:val="000000"/>
                <w:sz w:val="18"/>
                <w:szCs w:val="18"/>
              </w:rPr>
              <w:t xml:space="preserve">OTE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minus</w:t>
            </w:r>
            <w:proofErr w:type="spellEnd"/>
            <w:r w:rsidRPr="007629B9">
              <w:rPr>
                <w:rFonts w:ascii="Arial" w:hAnsi="Arial" w:cs="Arial"/>
                <w:b/>
                <w:bCs/>
                <w:color w:val="000000"/>
                <w:sz w:val="18"/>
                <w:szCs w:val="18"/>
              </w:rPr>
              <w:t xml:space="preserve"> 46%</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250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300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400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500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600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r w:rsidRPr="007629B9">
              <w:rPr>
                <w:rFonts w:ascii="Arial" w:hAnsi="Arial" w:cs="Arial"/>
                <w:b/>
                <w:color w:val="000000"/>
                <w:sz w:val="18"/>
                <w:szCs w:val="18"/>
              </w:rPr>
              <w:t>1000</w:t>
            </w:r>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r w:rsidR="00A30041" w:rsidRPr="007629B9" w:rsidTr="0074415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30041" w:rsidRPr="007629B9" w:rsidRDefault="00A30041" w:rsidP="00A30041">
            <w:pPr>
              <w:spacing w:line="276" w:lineRule="auto"/>
              <w:ind w:left="426"/>
              <w:jc w:val="center"/>
              <w:rPr>
                <w:rFonts w:ascii="Arial" w:hAnsi="Arial" w:cs="Arial"/>
                <w:b/>
                <w:color w:val="000000"/>
                <w:sz w:val="18"/>
                <w:szCs w:val="18"/>
              </w:rPr>
            </w:pPr>
            <w:proofErr w:type="spellStart"/>
            <w:r w:rsidRPr="007629B9">
              <w:rPr>
                <w:rFonts w:ascii="Arial" w:hAnsi="Arial" w:cs="Arial"/>
                <w:b/>
                <w:color w:val="000000"/>
                <w:sz w:val="18"/>
                <w:szCs w:val="18"/>
              </w:rPr>
              <w:t>Average</w:t>
            </w:r>
            <w:proofErr w:type="spellEnd"/>
          </w:p>
        </w:tc>
        <w:tc>
          <w:tcPr>
            <w:tcW w:w="1888"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b/>
                <w:color w:val="000000"/>
                <w:sz w:val="18"/>
                <w:szCs w:val="18"/>
              </w:rPr>
            </w:pPr>
            <w:r w:rsidRPr="007629B9">
              <w:rPr>
                <w:rFonts w:ascii="Arial" w:hAnsi="Arial" w:cs="Arial"/>
              </w:rPr>
              <w:t>[…]</w:t>
            </w:r>
          </w:p>
        </w:tc>
        <w:tc>
          <w:tcPr>
            <w:tcW w:w="1843"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c>
          <w:tcPr>
            <w:tcW w:w="2789" w:type="dxa"/>
            <w:tcBorders>
              <w:top w:val="nil"/>
              <w:left w:val="nil"/>
              <w:bottom w:val="single" w:sz="4" w:space="0" w:color="auto"/>
              <w:right w:val="single" w:sz="4" w:space="0" w:color="auto"/>
            </w:tcBorders>
            <w:shd w:val="clear" w:color="auto" w:fill="auto"/>
            <w:noWrap/>
          </w:tcPr>
          <w:p w:rsidR="00A30041" w:rsidRPr="007629B9" w:rsidRDefault="00A30041" w:rsidP="00A30041">
            <w:pPr>
              <w:jc w:val="center"/>
              <w:rPr>
                <w:rFonts w:ascii="Arial" w:hAnsi="Arial" w:cs="Arial"/>
                <w:color w:val="000000"/>
                <w:sz w:val="18"/>
                <w:szCs w:val="18"/>
              </w:rPr>
            </w:pPr>
            <w:r w:rsidRPr="007629B9">
              <w:rPr>
                <w:rFonts w:ascii="Arial" w:hAnsi="Arial" w:cs="Arial"/>
              </w:rPr>
              <w:t>[…]</w:t>
            </w:r>
          </w:p>
        </w:tc>
      </w:tr>
    </w:tbl>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Όπως αναφέρθηκε και ανωτέρω υπάρχουν κατηγορίες κυκλωμάτων με πολύ μικρό αριθμό κυκλωμάτων και παρατηρούνται μη ομαλές μεταβολές στη διακύμανση των τιμών λιανικής. Για παράδειγμα, </w:t>
      </w:r>
      <w:r w:rsidR="00A30041" w:rsidRPr="007629B9">
        <w:rPr>
          <w:rFonts w:ascii="Arial" w:hAnsi="Arial" w:cs="Arial"/>
        </w:rPr>
        <w:t>[…]</w:t>
      </w:r>
      <w:r w:rsidRPr="007629B9">
        <w:rPr>
          <w:rFonts w:ascii="Arial" w:hAnsi="Arial" w:cs="Arial"/>
        </w:rPr>
        <w:t xml:space="preserve">. Κατά συνέπεια, η μείωση κατά </w:t>
      </w:r>
      <w:r w:rsidRPr="00744153">
        <w:rPr>
          <w:rFonts w:ascii="Arial" w:hAnsi="Arial" w:cs="Arial"/>
        </w:rPr>
        <w:t>46%</w:t>
      </w:r>
      <w:r w:rsidRPr="007629B9">
        <w:rPr>
          <w:rFonts w:ascii="Arial" w:hAnsi="Arial" w:cs="Arial"/>
        </w:rPr>
        <w:t xml:space="preserve"> δεν μπορεί να εφαρμοσθεί στη μέση τιμή ανά ταχύτητα. Για αυτό προτείνεται να εφαρμοσθεί στο μέσο όρο των μέσων τιμών λιανικής σύμφωνα με την παρακάτω μεθοδολογία.</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Σύμφωνα με </w:t>
      </w:r>
      <w:r w:rsidR="007F64CE">
        <w:rPr>
          <w:rFonts w:ascii="Arial" w:hAnsi="Arial" w:cs="Arial"/>
        </w:rPr>
        <w:t>τα στοιχεία του ανωτέρω Πίνακα 3</w:t>
      </w:r>
      <w:r w:rsidRPr="007629B9">
        <w:rPr>
          <w:rFonts w:ascii="Arial" w:hAnsi="Arial" w:cs="Arial"/>
        </w:rPr>
        <w:t xml:space="preserve"> ο μέσος όρος των μέσων τιμών λιανικής του ΟΤΕ ανά ταχύτητα υπολογίζεται σε </w:t>
      </w:r>
      <w:r w:rsidR="00A30041" w:rsidRPr="007629B9">
        <w:rPr>
          <w:rFonts w:ascii="Arial" w:hAnsi="Arial" w:cs="Arial"/>
        </w:rPr>
        <w:t>[…]</w:t>
      </w:r>
      <w:r w:rsidRPr="007629B9">
        <w:rPr>
          <w:rFonts w:ascii="Arial" w:hAnsi="Arial" w:cs="Arial"/>
        </w:rPr>
        <w:t xml:space="preserve">€. Με μείωση κατά </w:t>
      </w:r>
      <w:r w:rsidRPr="00744153">
        <w:rPr>
          <w:rFonts w:ascii="Arial" w:hAnsi="Arial" w:cs="Arial"/>
        </w:rPr>
        <w:t>46%</w:t>
      </w:r>
      <w:r w:rsidRPr="007629B9">
        <w:rPr>
          <w:rFonts w:ascii="Arial" w:hAnsi="Arial" w:cs="Arial"/>
        </w:rPr>
        <w:t xml:space="preserve"> στη μέση τιμή λιανικής, η προτεινόμενη μέση τιμή χονδρικής ανέρχεται σε </w:t>
      </w:r>
      <w:r w:rsidR="00A30041" w:rsidRPr="007629B9">
        <w:rPr>
          <w:rFonts w:ascii="Arial" w:hAnsi="Arial" w:cs="Arial"/>
        </w:rPr>
        <w:t>[…]</w:t>
      </w:r>
      <w:r w:rsidRPr="007629B9">
        <w:rPr>
          <w:rFonts w:ascii="Arial" w:hAnsi="Arial" w:cs="Arial"/>
        </w:rPr>
        <w:t xml:space="preserve">€. Στους συγκεκριμένους υπολογισμούς του μέσου όρου των μέσων τιμών λιανικής δεν λαμβάνεται υπόψη ο αριθμός κυκλωμάτων ανά ταχύτητα (αφού δεν υπολογίζεται σταθμισμένος μέσος όρος λόγω του μικρού αριθμού κυκλωμάτων σε κάποιες ταχύτητες). Για να συνυπολογιστεί ο αριθμός κυκλωμάτων κατά τον έλεγχο εφαρμογής του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minus</w:t>
      </w:r>
      <w:proofErr w:type="spellEnd"/>
      <w:r w:rsidRPr="007629B9">
        <w:rPr>
          <w:rFonts w:ascii="Arial" w:hAnsi="Arial" w:cs="Arial"/>
        </w:rPr>
        <w:t xml:space="preserve"> θα γίνει επιπροσθέτως έλεγχος και του συνολικού κόστους χονδρικής σε σχέση με το συνολικό έσοδο λιανικής, το οποίο όπως και στην περίπτωση των οπτικών κυκλωμάτων </w:t>
      </w:r>
      <w:proofErr w:type="spellStart"/>
      <w:r w:rsidRPr="007629B9">
        <w:rPr>
          <w:rFonts w:ascii="Arial" w:hAnsi="Arial" w:cs="Arial"/>
        </w:rPr>
        <w:t>Ethernet</w:t>
      </w:r>
      <w:proofErr w:type="spellEnd"/>
      <w:r w:rsidRPr="007629B9">
        <w:rPr>
          <w:rFonts w:ascii="Arial" w:hAnsi="Arial" w:cs="Arial"/>
        </w:rPr>
        <w:t xml:space="preserve"> κάτω των 200Mbps πρέπει να είναι 43% χαμηλότερο.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Συνεπώς, ο ΟΤΕ πρέπει να προσδιορίσει τιμές χονδρικής για τις ταχύτητες άνω των 200 </w:t>
      </w:r>
      <w:proofErr w:type="spellStart"/>
      <w:r w:rsidRPr="007629B9">
        <w:rPr>
          <w:rFonts w:ascii="Arial" w:hAnsi="Arial" w:cs="Arial"/>
        </w:rPr>
        <w:t>Mbps</w:t>
      </w:r>
      <w:proofErr w:type="spellEnd"/>
      <w:r w:rsidRPr="007629B9">
        <w:rPr>
          <w:rFonts w:ascii="Arial" w:hAnsi="Arial" w:cs="Arial"/>
        </w:rPr>
        <w:t xml:space="preserve"> ώστε να ικανοποιούνται από τις εν λόγω τιμές οι ακόλουθες δύο (2) συνθήκες:  </w:t>
      </w:r>
    </w:p>
    <w:p w:rsidR="00F132EA" w:rsidRPr="00744153" w:rsidRDefault="00F132EA" w:rsidP="00F132EA">
      <w:pPr>
        <w:pStyle w:val="ac"/>
        <w:numPr>
          <w:ilvl w:val="0"/>
          <w:numId w:val="10"/>
        </w:numPr>
        <w:spacing w:after="160"/>
        <w:ind w:left="993" w:hanging="426"/>
        <w:jc w:val="both"/>
        <w:rPr>
          <w:rFonts w:ascii="Arial" w:hAnsi="Arial" w:cs="Arial"/>
          <w:sz w:val="24"/>
          <w:szCs w:val="24"/>
        </w:rPr>
      </w:pPr>
      <w:r w:rsidRPr="00744153">
        <w:rPr>
          <w:rFonts w:ascii="Arial" w:hAnsi="Arial" w:cs="Arial"/>
          <w:sz w:val="24"/>
          <w:szCs w:val="24"/>
        </w:rPr>
        <w:t xml:space="preserve">ο μέσος όρος των τιμών χονδρικής του ΟΤΕ για τις ταχύτητες 250, 300, 400, 500, 600 και 1000 </w:t>
      </w:r>
      <w:r w:rsidRPr="00744153">
        <w:rPr>
          <w:rFonts w:ascii="Arial" w:hAnsi="Arial" w:cs="Arial"/>
          <w:sz w:val="24"/>
          <w:szCs w:val="24"/>
          <w:lang w:val="en-US"/>
        </w:rPr>
        <w:t>Mbps</w:t>
      </w:r>
      <w:r w:rsidRPr="00744153">
        <w:rPr>
          <w:rFonts w:ascii="Arial" w:hAnsi="Arial" w:cs="Arial"/>
          <w:sz w:val="24"/>
          <w:szCs w:val="24"/>
        </w:rPr>
        <w:t xml:space="preserve"> να είναι τουλάχιστον 46% χαμηλότερος από τον μέσο όρο των αντίστοιχων μέσων τιμών λιανικής (</w:t>
      </w:r>
      <w:proofErr w:type="spellStart"/>
      <w:r w:rsidRPr="00744153">
        <w:rPr>
          <w:rFonts w:ascii="Arial" w:hAnsi="Arial" w:cs="Arial"/>
          <w:sz w:val="24"/>
          <w:szCs w:val="24"/>
        </w:rPr>
        <w:t>δηλ</w:t>
      </w:r>
      <w:proofErr w:type="spellEnd"/>
      <w:r w:rsidRPr="00744153">
        <w:rPr>
          <w:rFonts w:ascii="Arial" w:hAnsi="Arial" w:cs="Arial"/>
          <w:sz w:val="24"/>
          <w:szCs w:val="24"/>
        </w:rPr>
        <w:t xml:space="preserve"> ο μέσος όρος των τιμών χονδρικής των ως άνω ταχυτήτων </w:t>
      </w:r>
      <w:r w:rsidR="00EE3F5A" w:rsidRPr="007629B9">
        <w:rPr>
          <w:rFonts w:ascii="Arial" w:hAnsi="Arial" w:cs="Arial"/>
          <w:sz w:val="24"/>
          <w:szCs w:val="24"/>
        </w:rPr>
        <w:t xml:space="preserve">να μην είναι ψηλότερος από </w:t>
      </w:r>
      <w:r w:rsidR="00EE3F5A" w:rsidRPr="00744153">
        <w:rPr>
          <w:rFonts w:ascii="Arial" w:hAnsi="Arial" w:cs="Arial"/>
          <w:sz w:val="24"/>
          <w:szCs w:val="24"/>
        </w:rPr>
        <w:t>[</w:t>
      </w:r>
      <w:r w:rsidR="00EE3F5A" w:rsidRPr="007629B9">
        <w:rPr>
          <w:rFonts w:ascii="Arial" w:hAnsi="Arial" w:cs="Arial"/>
          <w:sz w:val="24"/>
          <w:szCs w:val="24"/>
        </w:rPr>
        <w:t>…</w:t>
      </w:r>
      <w:r w:rsidR="00EE3F5A" w:rsidRPr="00744153">
        <w:rPr>
          <w:rFonts w:ascii="Arial" w:hAnsi="Arial" w:cs="Arial"/>
          <w:sz w:val="24"/>
          <w:szCs w:val="24"/>
        </w:rPr>
        <w:t>]</w:t>
      </w:r>
      <w:r w:rsidRPr="00744153">
        <w:rPr>
          <w:rFonts w:ascii="Arial" w:hAnsi="Arial" w:cs="Arial"/>
          <w:sz w:val="24"/>
          <w:szCs w:val="24"/>
        </w:rPr>
        <w:t xml:space="preserve">) και </w:t>
      </w:r>
    </w:p>
    <w:p w:rsidR="00F132EA" w:rsidRPr="00744153" w:rsidRDefault="00F132EA" w:rsidP="00F132EA">
      <w:pPr>
        <w:pStyle w:val="ac"/>
        <w:numPr>
          <w:ilvl w:val="0"/>
          <w:numId w:val="10"/>
        </w:numPr>
        <w:spacing w:after="160"/>
        <w:ind w:left="993" w:hanging="426"/>
        <w:jc w:val="both"/>
        <w:rPr>
          <w:rFonts w:ascii="Arial" w:hAnsi="Arial" w:cs="Arial"/>
          <w:sz w:val="24"/>
          <w:szCs w:val="24"/>
        </w:rPr>
      </w:pPr>
      <w:r w:rsidRPr="00744153">
        <w:rPr>
          <w:rFonts w:ascii="Arial" w:hAnsi="Arial" w:cs="Arial"/>
          <w:sz w:val="24"/>
          <w:szCs w:val="24"/>
        </w:rPr>
        <w:t xml:space="preserve">το συνολικό κόστος χονδρικής που θα προκύπτει λαμβάνοντας υπόψη τον αριθμό κυκλωμάτων λιανικής ανά κατηγορία (για τις ταχύτητες 250, 300, 400, 500, 600, 1000 </w:t>
      </w:r>
      <w:r w:rsidRPr="00744153">
        <w:rPr>
          <w:rFonts w:ascii="Arial" w:hAnsi="Arial" w:cs="Arial"/>
          <w:sz w:val="24"/>
          <w:szCs w:val="24"/>
          <w:lang w:val="en-US"/>
        </w:rPr>
        <w:t>Mbps</w:t>
      </w:r>
      <w:r w:rsidRPr="00744153">
        <w:rPr>
          <w:rFonts w:ascii="Arial" w:hAnsi="Arial" w:cs="Arial"/>
          <w:sz w:val="24"/>
          <w:szCs w:val="24"/>
        </w:rPr>
        <w:t xml:space="preserve">) πρέπει να είναι τουλάχιστον 43% μικρότερο από το αντίστοιχο έσοδο λιανικής.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Για τον υπολογισμό του εσόδου γίνεται η υπόθεση ότι κάθε κύκλωμα έχει ένα άκρο. Με βάση τα στοιχεία που έχει προσκομίσει ο ΟΤΕ το έσοδο λιανικής υπολογίστηκε σε </w:t>
      </w:r>
      <w:r w:rsidR="00EE3F5A" w:rsidRPr="00744153">
        <w:rPr>
          <w:rFonts w:ascii="Arial" w:hAnsi="Arial" w:cs="Arial"/>
        </w:rPr>
        <w:t>[</w:t>
      </w:r>
      <w:r w:rsidR="00EE3F5A" w:rsidRPr="007629B9">
        <w:rPr>
          <w:rFonts w:ascii="Arial" w:hAnsi="Arial" w:cs="Arial"/>
        </w:rPr>
        <w:t>…</w:t>
      </w:r>
      <w:r w:rsidR="00EE3F5A" w:rsidRPr="00744153">
        <w:rPr>
          <w:rFonts w:ascii="Arial" w:hAnsi="Arial" w:cs="Arial"/>
        </w:rPr>
        <w:t>]</w:t>
      </w:r>
      <w:r w:rsidRPr="007629B9">
        <w:rPr>
          <w:rFonts w:ascii="Arial" w:hAnsi="Arial" w:cs="Arial"/>
        </w:rPr>
        <w:t xml:space="preserve"> ευρώ.  Συνεπώς βάσει των τιμών χονδρικής που θα προσδιοριστούν το συνολικό κόστος χονδρικής δεν μπορεί να υπερβαίνει </w:t>
      </w:r>
      <w:r w:rsidR="00EE3F5A" w:rsidRPr="00744153">
        <w:rPr>
          <w:rFonts w:ascii="Arial" w:hAnsi="Arial" w:cs="Arial"/>
        </w:rPr>
        <w:t>[…]</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i/>
        </w:rPr>
      </w:pPr>
      <w:r w:rsidRPr="007629B9">
        <w:rPr>
          <w:rFonts w:ascii="Arial" w:hAnsi="Arial" w:cs="Arial"/>
          <w:i/>
        </w:rPr>
        <w:t>Ι</w:t>
      </w:r>
      <w:r w:rsidRPr="007629B9">
        <w:rPr>
          <w:rFonts w:ascii="Arial" w:hAnsi="Arial" w:cs="Arial"/>
          <w:i/>
          <w:lang w:val="en-US"/>
        </w:rPr>
        <w:t>II</w:t>
      </w:r>
      <w:r w:rsidRPr="007629B9">
        <w:rPr>
          <w:rFonts w:ascii="Arial" w:hAnsi="Arial" w:cs="Arial"/>
          <w:i/>
        </w:rPr>
        <w:t xml:space="preserve">. Τιμές Ασύρματων Κυκλωμάτων </w:t>
      </w:r>
      <w:r w:rsidRPr="007629B9">
        <w:rPr>
          <w:rFonts w:ascii="Arial" w:hAnsi="Arial" w:cs="Arial"/>
          <w:i/>
          <w:lang w:val="en-US"/>
        </w:rPr>
        <w:t>Ethernet</w:t>
      </w:r>
      <w:r w:rsidRPr="007629B9">
        <w:rPr>
          <w:rFonts w:ascii="Arial" w:hAnsi="Arial" w:cs="Arial"/>
          <w:i/>
        </w:rPr>
        <w:t xml:space="preserve">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Από τα στοιχεία λιανικής που έχει υποβάλλει ο ΟΤΕ  (για γραμμές </w:t>
      </w:r>
      <w:r w:rsidRPr="007629B9">
        <w:rPr>
          <w:rFonts w:ascii="Arial" w:hAnsi="Arial" w:cs="Arial"/>
          <w:lang w:val="en-US"/>
        </w:rPr>
        <w:t>Ethernet</w:t>
      </w:r>
      <w:r w:rsidRPr="007629B9">
        <w:rPr>
          <w:rFonts w:ascii="Arial" w:hAnsi="Arial" w:cs="Arial"/>
        </w:rPr>
        <w:t xml:space="preserve"> μέχρι και 200 </w:t>
      </w:r>
      <w:r w:rsidRPr="007629B9">
        <w:rPr>
          <w:rFonts w:ascii="Arial" w:hAnsi="Arial" w:cs="Arial"/>
          <w:lang w:val="en-US"/>
        </w:rPr>
        <w:t>Mbps</w:t>
      </w:r>
      <w:r w:rsidRPr="007629B9">
        <w:rPr>
          <w:rFonts w:ascii="Arial" w:hAnsi="Arial" w:cs="Arial"/>
        </w:rPr>
        <w:t xml:space="preserve">) διαπιστώνουμε ότι το κόστος των γραμμών χονδρικής είναι χαμηλότερο κατά </w:t>
      </w:r>
      <w:r w:rsidRPr="00744153">
        <w:rPr>
          <w:rFonts w:ascii="Arial" w:hAnsi="Arial" w:cs="Arial"/>
        </w:rPr>
        <w:t>43%</w:t>
      </w:r>
      <w:r w:rsidRPr="007629B9">
        <w:rPr>
          <w:rFonts w:ascii="Arial" w:hAnsi="Arial" w:cs="Arial"/>
        </w:rPr>
        <w:t xml:space="preserve"> από το συνολικό έσοδο των μισθωμένων γραμμών λιανικής, ενώ κατά μέσο όρο οι μέσες λιανικές τιμές ανά ταχύτητα είναι </w:t>
      </w:r>
      <w:r w:rsidRPr="00744153">
        <w:rPr>
          <w:rFonts w:ascii="Arial" w:hAnsi="Arial" w:cs="Arial"/>
        </w:rPr>
        <w:t>46%</w:t>
      </w:r>
      <w:r w:rsidRPr="007629B9">
        <w:rPr>
          <w:rFonts w:ascii="Arial" w:hAnsi="Arial" w:cs="Arial"/>
        </w:rPr>
        <w:t xml:space="preserve"> χαμηλότερες από τις αντίστοιχες τιμές χονδρικής. </w:t>
      </w:r>
    </w:p>
    <w:p w:rsidR="00F132EA" w:rsidRPr="007629B9" w:rsidRDefault="007F64CE" w:rsidP="00F132EA">
      <w:pPr>
        <w:spacing w:line="276" w:lineRule="auto"/>
        <w:ind w:left="426"/>
        <w:jc w:val="both"/>
        <w:rPr>
          <w:rFonts w:ascii="Arial" w:hAnsi="Arial" w:cs="Arial"/>
        </w:rPr>
      </w:pPr>
      <w:r>
        <w:rPr>
          <w:rFonts w:ascii="Arial" w:hAnsi="Arial" w:cs="Arial"/>
        </w:rPr>
        <w:t>Στον παρακάτω Πίνακα 4</w:t>
      </w:r>
      <w:r w:rsidR="00F132EA" w:rsidRPr="007629B9">
        <w:rPr>
          <w:rFonts w:ascii="Arial" w:hAnsi="Arial" w:cs="Arial"/>
        </w:rPr>
        <w:t xml:space="preserve"> παρουσιάζονται οι τιμές λιανικής για ασύρματα κυκλώματα της </w:t>
      </w:r>
      <w:r w:rsidR="00F132EA" w:rsidRPr="007629B9">
        <w:rPr>
          <w:rFonts w:ascii="Arial" w:hAnsi="Arial" w:cs="Arial"/>
          <w:lang w:val="en-US"/>
        </w:rPr>
        <w:t>Vodafone</w:t>
      </w:r>
      <w:r w:rsidR="00F132EA" w:rsidRPr="007629B9">
        <w:rPr>
          <w:rFonts w:ascii="Arial" w:hAnsi="Arial" w:cs="Arial"/>
        </w:rPr>
        <w:t xml:space="preserve"> και του ΟΤΕ  (σύμφωνα με τα ανωτέρω στις συγκρίσεις λαμβάνονται υπόψη μόνο ταχύτητες με αριθμό λιανικών κυκλωμάτων άνω  των 10 ανά εταιρεία) . </w:t>
      </w:r>
    </w:p>
    <w:p w:rsidR="00F132EA" w:rsidRPr="007629B9" w:rsidRDefault="00F132EA" w:rsidP="00F132EA">
      <w:pPr>
        <w:pStyle w:val="ab"/>
        <w:spacing w:line="276" w:lineRule="auto"/>
        <w:ind w:left="426"/>
        <w:rPr>
          <w:rFonts w:ascii="Arial" w:hAnsi="Arial" w:cs="Arial"/>
        </w:rPr>
      </w:pPr>
      <w:r w:rsidRPr="007629B9">
        <w:rPr>
          <w:rFonts w:ascii="Arial" w:hAnsi="Arial" w:cs="Arial"/>
        </w:rPr>
        <w:t xml:space="preserve">Πίνακας </w:t>
      </w:r>
      <w:r w:rsidRPr="007629B9">
        <w:rPr>
          <w:rFonts w:ascii="Arial" w:hAnsi="Arial" w:cs="Arial"/>
          <w:noProof/>
        </w:rPr>
        <w:fldChar w:fldCharType="begin"/>
      </w:r>
      <w:r w:rsidRPr="007629B9">
        <w:rPr>
          <w:rFonts w:ascii="Arial" w:hAnsi="Arial" w:cs="Arial"/>
          <w:noProof/>
        </w:rPr>
        <w:instrText xml:space="preserve"> SEQ Πίνακας \* ARABIC </w:instrText>
      </w:r>
      <w:r w:rsidRPr="007629B9">
        <w:rPr>
          <w:rFonts w:ascii="Arial" w:hAnsi="Arial" w:cs="Arial"/>
          <w:noProof/>
        </w:rPr>
        <w:fldChar w:fldCharType="separate"/>
      </w:r>
      <w:r w:rsidR="00AA447F">
        <w:rPr>
          <w:rFonts w:ascii="Arial" w:hAnsi="Arial" w:cs="Arial"/>
          <w:noProof/>
        </w:rPr>
        <w:t>4</w:t>
      </w:r>
      <w:r w:rsidRPr="007629B9">
        <w:rPr>
          <w:rFonts w:ascii="Arial" w:hAnsi="Arial" w:cs="Arial"/>
          <w:noProof/>
        </w:rPr>
        <w:fldChar w:fldCharType="end"/>
      </w:r>
      <w:r w:rsidRPr="007629B9">
        <w:rPr>
          <w:rFonts w:ascii="Arial" w:hAnsi="Arial" w:cs="Arial"/>
        </w:rPr>
        <w:t xml:space="preserve">: Σύγκριση τιμών λιανικής </w:t>
      </w:r>
      <w:r w:rsidRPr="007629B9">
        <w:rPr>
          <w:rFonts w:ascii="Arial" w:hAnsi="Arial" w:cs="Arial"/>
          <w:lang w:val="en-US"/>
        </w:rPr>
        <w:t>Vodafone</w:t>
      </w:r>
      <w:r w:rsidRPr="007629B9">
        <w:rPr>
          <w:rFonts w:ascii="Arial" w:hAnsi="Arial" w:cs="Arial"/>
        </w:rPr>
        <w:t xml:space="preserve"> και ΟΤΕ</w:t>
      </w:r>
    </w:p>
    <w:tbl>
      <w:tblPr>
        <w:tblW w:w="9654" w:type="dxa"/>
        <w:jc w:val="center"/>
        <w:tblLayout w:type="fixed"/>
        <w:tblLook w:val="04A0" w:firstRow="1" w:lastRow="0" w:firstColumn="1" w:lastColumn="0" w:noHBand="0" w:noVBand="1"/>
      </w:tblPr>
      <w:tblGrid>
        <w:gridCol w:w="995"/>
        <w:gridCol w:w="134"/>
        <w:gridCol w:w="851"/>
        <w:gridCol w:w="1141"/>
        <w:gridCol w:w="1108"/>
        <w:gridCol w:w="1108"/>
        <w:gridCol w:w="1108"/>
        <w:gridCol w:w="1682"/>
        <w:gridCol w:w="1527"/>
      </w:tblGrid>
      <w:tr w:rsidR="00F132EA" w:rsidRPr="00B56001" w:rsidTr="00E71CDB">
        <w:trPr>
          <w:trHeight w:val="900"/>
          <w:jc w:val="center"/>
        </w:trPr>
        <w:tc>
          <w:tcPr>
            <w:tcW w:w="1129"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proofErr w:type="spellStart"/>
            <w:r w:rsidRPr="007629B9">
              <w:rPr>
                <w:rFonts w:ascii="Arial" w:hAnsi="Arial" w:cs="Arial"/>
                <w:b/>
                <w:bCs/>
                <w:color w:val="000000"/>
                <w:sz w:val="18"/>
                <w:szCs w:val="18"/>
              </w:rPr>
              <w:t>Capacity</w:t>
            </w:r>
            <w:proofErr w:type="spellEnd"/>
          </w:p>
        </w:tc>
        <w:tc>
          <w:tcPr>
            <w:tcW w:w="851"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r w:rsidRPr="007629B9">
              <w:rPr>
                <w:rFonts w:ascii="Arial" w:hAnsi="Arial" w:cs="Arial"/>
                <w:b/>
                <w:bCs/>
                <w:color w:val="000000"/>
                <w:sz w:val="18"/>
                <w:szCs w:val="18"/>
              </w:rPr>
              <w:t xml:space="preserve">OTE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p>
        </w:tc>
        <w:tc>
          <w:tcPr>
            <w:tcW w:w="1141" w:type="dxa"/>
            <w:tcBorders>
              <w:top w:val="single" w:sz="4" w:space="0" w:color="auto"/>
              <w:left w:val="nil"/>
              <w:bottom w:val="single" w:sz="4" w:space="0" w:color="auto"/>
              <w:right w:val="single" w:sz="4" w:space="0" w:color="auto"/>
            </w:tcBorders>
            <w:shd w:val="clear" w:color="000000" w:fill="FFFF00"/>
            <w:noWrap/>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r w:rsidRPr="007629B9">
              <w:rPr>
                <w:rFonts w:ascii="Arial" w:hAnsi="Arial" w:cs="Arial"/>
                <w:b/>
                <w:bCs/>
                <w:color w:val="000000"/>
                <w:sz w:val="18"/>
                <w:szCs w:val="18"/>
              </w:rPr>
              <w:t>OTE Number</w:t>
            </w:r>
          </w:p>
        </w:tc>
        <w:tc>
          <w:tcPr>
            <w:tcW w:w="1108"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r w:rsidRPr="007629B9">
              <w:rPr>
                <w:rFonts w:ascii="Arial" w:hAnsi="Arial" w:cs="Arial"/>
                <w:b/>
                <w:bCs/>
                <w:color w:val="000000"/>
                <w:sz w:val="18"/>
                <w:szCs w:val="18"/>
              </w:rPr>
              <w:t xml:space="preserve">Vodafone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p>
        </w:tc>
        <w:tc>
          <w:tcPr>
            <w:tcW w:w="1108"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r w:rsidRPr="007629B9">
              <w:rPr>
                <w:rFonts w:ascii="Arial" w:hAnsi="Arial" w:cs="Arial"/>
                <w:b/>
                <w:bCs/>
                <w:color w:val="000000"/>
                <w:sz w:val="18"/>
                <w:szCs w:val="18"/>
              </w:rPr>
              <w:t>Vodafone Number</w:t>
            </w:r>
          </w:p>
        </w:tc>
        <w:tc>
          <w:tcPr>
            <w:tcW w:w="1108"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vs. OTE Retail</w:t>
            </w:r>
          </w:p>
        </w:tc>
        <w:tc>
          <w:tcPr>
            <w:tcW w:w="1682"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rPr>
            </w:pPr>
            <w:r w:rsidRPr="007629B9">
              <w:rPr>
                <w:rFonts w:ascii="Arial" w:hAnsi="Arial" w:cs="Arial"/>
                <w:b/>
                <w:bCs/>
                <w:color w:val="000000"/>
                <w:sz w:val="18"/>
                <w:szCs w:val="18"/>
              </w:rPr>
              <w:t xml:space="preserve">OTE </w:t>
            </w:r>
            <w:proofErr w:type="spellStart"/>
            <w:r w:rsidRPr="007629B9">
              <w:rPr>
                <w:rFonts w:ascii="Arial" w:hAnsi="Arial" w:cs="Arial"/>
                <w:b/>
                <w:bCs/>
                <w:color w:val="000000"/>
                <w:sz w:val="18"/>
                <w:szCs w:val="18"/>
              </w:rPr>
              <w:t>Mean</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retail</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minus</w:t>
            </w:r>
            <w:proofErr w:type="spellEnd"/>
            <w:r w:rsidRPr="007629B9">
              <w:rPr>
                <w:rFonts w:ascii="Arial" w:hAnsi="Arial" w:cs="Arial"/>
                <w:b/>
                <w:bCs/>
                <w:color w:val="000000"/>
                <w:sz w:val="18"/>
                <w:szCs w:val="18"/>
              </w:rPr>
              <w:t xml:space="preserve"> 46%</w:t>
            </w:r>
          </w:p>
        </w:tc>
        <w:tc>
          <w:tcPr>
            <w:tcW w:w="1527" w:type="dxa"/>
            <w:tcBorders>
              <w:top w:val="single" w:sz="4" w:space="0" w:color="auto"/>
              <w:left w:val="nil"/>
              <w:bottom w:val="single" w:sz="4" w:space="0" w:color="auto"/>
              <w:right w:val="single" w:sz="4" w:space="0" w:color="auto"/>
            </w:tcBorders>
            <w:shd w:val="clear" w:color="000000" w:fill="FFFF00"/>
            <w:vAlign w:val="bottom"/>
            <w:hideMark/>
          </w:tcPr>
          <w:p w:rsidR="00F132EA" w:rsidRPr="007629B9" w:rsidRDefault="00F132EA" w:rsidP="00E71CDB">
            <w:pPr>
              <w:spacing w:line="276" w:lineRule="auto"/>
              <w:ind w:left="29"/>
              <w:jc w:val="center"/>
              <w:rPr>
                <w:rFonts w:ascii="Arial" w:hAnsi="Arial" w:cs="Arial"/>
                <w:b/>
                <w:bCs/>
                <w:color w:val="000000"/>
                <w:sz w:val="18"/>
                <w:szCs w:val="18"/>
                <w:lang w:val="en-US"/>
              </w:rPr>
            </w:pPr>
            <w:r w:rsidRPr="007629B9">
              <w:rPr>
                <w:rFonts w:ascii="Arial" w:hAnsi="Arial" w:cs="Arial"/>
                <w:b/>
                <w:bCs/>
                <w:color w:val="000000"/>
                <w:sz w:val="18"/>
                <w:szCs w:val="18"/>
                <w:lang w:val="en-US"/>
              </w:rPr>
              <w:t>Vodafone Retail vs. OTE Retail  minus 46%</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2</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4</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6</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8</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15</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20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30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40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50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60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70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80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90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100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120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150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200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250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300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400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color w:val="000000"/>
                <w:sz w:val="18"/>
                <w:szCs w:val="18"/>
              </w:rPr>
            </w:pPr>
            <w:r w:rsidRPr="007629B9">
              <w:rPr>
                <w:rFonts w:ascii="Arial" w:hAnsi="Arial" w:cs="Arial"/>
                <w:b/>
                <w:color w:val="000000"/>
                <w:sz w:val="18"/>
                <w:szCs w:val="18"/>
              </w:rPr>
              <w:t>500</w:t>
            </w:r>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r w:rsidR="00EE3F5A" w:rsidRPr="007629B9" w:rsidTr="0074415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E3F5A" w:rsidRPr="007629B9" w:rsidRDefault="00EE3F5A" w:rsidP="00EE3F5A">
            <w:pPr>
              <w:spacing w:line="276" w:lineRule="auto"/>
              <w:ind w:left="29"/>
              <w:jc w:val="center"/>
              <w:rPr>
                <w:rFonts w:ascii="Arial" w:hAnsi="Arial" w:cs="Arial"/>
                <w:b/>
                <w:bCs/>
                <w:color w:val="000000"/>
                <w:sz w:val="18"/>
                <w:szCs w:val="18"/>
              </w:rPr>
            </w:pPr>
            <w:proofErr w:type="spellStart"/>
            <w:r w:rsidRPr="007629B9">
              <w:rPr>
                <w:rFonts w:ascii="Arial" w:hAnsi="Arial" w:cs="Arial"/>
                <w:b/>
                <w:bCs/>
                <w:color w:val="000000"/>
                <w:sz w:val="18"/>
                <w:szCs w:val="18"/>
              </w:rPr>
              <w:t>Average</w:t>
            </w:r>
            <w:proofErr w:type="spellEnd"/>
          </w:p>
        </w:tc>
        <w:tc>
          <w:tcPr>
            <w:tcW w:w="985" w:type="dxa"/>
            <w:gridSpan w:val="2"/>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41"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108"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682"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c>
          <w:tcPr>
            <w:tcW w:w="1527" w:type="dxa"/>
            <w:tcBorders>
              <w:top w:val="nil"/>
              <w:left w:val="nil"/>
              <w:bottom w:val="single" w:sz="4" w:space="0" w:color="auto"/>
              <w:right w:val="single" w:sz="4" w:space="0" w:color="auto"/>
            </w:tcBorders>
            <w:shd w:val="clear" w:color="auto" w:fill="auto"/>
            <w:noWrap/>
          </w:tcPr>
          <w:p w:rsidR="00EE3F5A" w:rsidRPr="007629B9" w:rsidRDefault="00EE3F5A" w:rsidP="00EE3F5A">
            <w:pPr>
              <w:jc w:val="center"/>
              <w:rPr>
                <w:rFonts w:ascii="Arial" w:hAnsi="Arial" w:cs="Arial"/>
                <w:color w:val="000000"/>
                <w:sz w:val="18"/>
                <w:szCs w:val="18"/>
              </w:rPr>
            </w:pPr>
            <w:r w:rsidRPr="007629B9">
              <w:rPr>
                <w:rFonts w:ascii="Arial" w:hAnsi="Arial" w:cs="Arial"/>
              </w:rPr>
              <w:t>[…]</w:t>
            </w:r>
          </w:p>
        </w:tc>
      </w:tr>
    </w:tbl>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Από την σύγκριση των τιμών λιανικής διαπιστώνουμε ότι η λιανική της Vodafone σε σχέση με την λιανική του ΟΤΕ κυμαίνεται </w:t>
      </w:r>
      <w:r w:rsidR="00EE3F5A" w:rsidRPr="007629B9">
        <w:rPr>
          <w:rFonts w:ascii="Arial" w:hAnsi="Arial" w:cs="Arial"/>
        </w:rPr>
        <w:t>[…]</w:t>
      </w:r>
      <w:r w:rsidR="00EE3F5A" w:rsidRPr="00744153">
        <w:rPr>
          <w:rFonts w:ascii="Arial" w:hAnsi="Arial" w:cs="Arial"/>
        </w:rPr>
        <w:t xml:space="preserve"> </w:t>
      </w:r>
      <w:r w:rsidRPr="007629B9">
        <w:rPr>
          <w:rFonts w:ascii="Arial" w:hAnsi="Arial" w:cs="Arial"/>
        </w:rPr>
        <w:t xml:space="preserve">και ο μέσος όρος των διαφορών αυτών είναι της τάξεως του </w:t>
      </w:r>
      <w:r w:rsidR="00EE3F5A" w:rsidRPr="007629B9">
        <w:rPr>
          <w:rFonts w:ascii="Arial" w:hAnsi="Arial" w:cs="Arial"/>
        </w:rPr>
        <w:t>[…]</w:t>
      </w:r>
      <w:r w:rsidRPr="007629B9">
        <w:rPr>
          <w:rFonts w:ascii="Arial" w:hAnsi="Arial" w:cs="Arial"/>
        </w:rPr>
        <w:t xml:space="preserve">. Επιπλέον εάν συγκρίνουμε,  για τις κατηγορίες κυκλωμάτων που υπάρχει επαρκές δείγμα και από τις δύο εταιρείες, τη μέση λιανική της Vodafone ανά ταχύτητα με τη μέση λιανική του ΟΤΕ ανά ταχύτητα αφαιρώντας από τη δεύτερη </w:t>
      </w:r>
      <w:r w:rsidRPr="00744153">
        <w:rPr>
          <w:rFonts w:ascii="Arial" w:hAnsi="Arial" w:cs="Arial"/>
        </w:rPr>
        <w:t>46%</w:t>
      </w:r>
      <w:r w:rsidRPr="007629B9">
        <w:rPr>
          <w:rFonts w:ascii="Arial" w:hAnsi="Arial" w:cs="Arial"/>
        </w:rPr>
        <w:t xml:space="preserve">, η λιανική της Vodafone είναι </w:t>
      </w:r>
      <w:r w:rsidR="00EE3F5A" w:rsidRPr="007629B9">
        <w:rPr>
          <w:rFonts w:ascii="Arial" w:hAnsi="Arial" w:cs="Arial"/>
        </w:rPr>
        <w:t>[…]</w:t>
      </w:r>
      <w:r w:rsidRPr="007629B9">
        <w:rPr>
          <w:rFonts w:ascii="Arial" w:hAnsi="Arial" w:cs="Arial"/>
        </w:rPr>
        <w:t xml:space="preserve">, και με μέσο όρο των διαφορών της τάξεως του </w:t>
      </w:r>
      <w:r w:rsidR="00EE3F5A" w:rsidRPr="007629B9">
        <w:rPr>
          <w:rFonts w:ascii="Arial" w:hAnsi="Arial" w:cs="Arial"/>
        </w:rPr>
        <w:t>[…]</w:t>
      </w:r>
      <w:r w:rsidRPr="007629B9">
        <w:rPr>
          <w:rFonts w:ascii="Arial" w:hAnsi="Arial" w:cs="Arial"/>
        </w:rPr>
        <w:t xml:space="preserve">.Τα ανωτέρω στοιχεία αγοράς επιβεβαιώνουν ότι η μέση διαφορά </w:t>
      </w:r>
      <w:r w:rsidR="00EE3F5A" w:rsidRPr="00744153">
        <w:rPr>
          <w:rFonts w:ascii="Arial" w:hAnsi="Arial" w:cs="Arial"/>
        </w:rPr>
        <w:t>46%</w:t>
      </w:r>
      <w:r w:rsidRPr="007629B9">
        <w:rPr>
          <w:rFonts w:ascii="Arial" w:hAnsi="Arial" w:cs="Arial"/>
        </w:rPr>
        <w:t xml:space="preserve"> λιανικής – χονδρικής  που έχει υπολογιστεί ανωτέρω για τα οπτικά κυκλώματα </w:t>
      </w:r>
      <w:r w:rsidRPr="007629B9">
        <w:rPr>
          <w:rFonts w:ascii="Arial" w:hAnsi="Arial" w:cs="Arial"/>
          <w:lang w:val="en-US"/>
        </w:rPr>
        <w:t>Ethernet</w:t>
      </w:r>
      <w:r w:rsidRPr="007629B9">
        <w:rPr>
          <w:rFonts w:ascii="Arial" w:hAnsi="Arial" w:cs="Arial"/>
        </w:rPr>
        <w:t xml:space="preserve"> κάτω των 200</w:t>
      </w:r>
      <w:r w:rsidRPr="007629B9">
        <w:rPr>
          <w:rFonts w:ascii="Arial" w:hAnsi="Arial" w:cs="Arial"/>
          <w:lang w:val="en-US"/>
        </w:rPr>
        <w:t>Mbps</w:t>
      </w:r>
      <w:r w:rsidRPr="007629B9">
        <w:rPr>
          <w:rFonts w:ascii="Arial" w:hAnsi="Arial" w:cs="Arial"/>
        </w:rPr>
        <w:t xml:space="preserve"> είναι εύλογη και μπορεί να εφαρμοσθεί και στην περίπτωση των ασύρματων κυκλωμάτων </w:t>
      </w:r>
      <w:r w:rsidRPr="007629B9">
        <w:rPr>
          <w:rFonts w:ascii="Arial" w:hAnsi="Arial" w:cs="Arial"/>
          <w:lang w:val="en-US"/>
        </w:rPr>
        <w:t>Ethernet</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Όπως αναφέρθηκε και ανωτέρω υπάρχουν κατηγορίες κυκλωμάτων με πολύ μικρό αριθμό πωλήσεων και παρατηρούνται μη ομαλές μεταβολές στη διακύμανση των τιμών λιανικής (βλέπε Εικόνα 5). Για παράδειγμα, τα κυκλώματα των […] </w:t>
      </w:r>
      <w:r w:rsidRPr="007629B9">
        <w:rPr>
          <w:rFonts w:ascii="Arial" w:hAnsi="Arial" w:cs="Arial"/>
          <w:lang w:val="en-US"/>
        </w:rPr>
        <w:t>Mbps</w:t>
      </w:r>
      <w:r w:rsidRPr="007629B9">
        <w:rPr>
          <w:rFonts w:ascii="Arial" w:hAnsi="Arial" w:cs="Arial"/>
        </w:rPr>
        <w:t xml:space="preserve"> έχουν μέση τιμή λιανικής χαμηλότερη από τα κυκλώματα των […] </w:t>
      </w:r>
      <w:r w:rsidRPr="007629B9">
        <w:rPr>
          <w:rFonts w:ascii="Arial" w:hAnsi="Arial" w:cs="Arial"/>
          <w:lang w:val="en-US"/>
        </w:rPr>
        <w:t>Mbps</w:t>
      </w:r>
      <w:r w:rsidRPr="007629B9">
        <w:rPr>
          <w:rFonts w:ascii="Arial" w:hAnsi="Arial" w:cs="Arial"/>
        </w:rPr>
        <w:t xml:space="preserve">. Κατά συνέπεια, η μείωση κατά </w:t>
      </w:r>
      <w:r w:rsidR="00EE3F5A" w:rsidRPr="00744153">
        <w:rPr>
          <w:rFonts w:ascii="Arial" w:hAnsi="Arial" w:cs="Arial"/>
        </w:rPr>
        <w:t>46%</w:t>
      </w:r>
      <w:r w:rsidRPr="007629B9">
        <w:rPr>
          <w:rFonts w:ascii="Arial" w:hAnsi="Arial" w:cs="Arial"/>
        </w:rPr>
        <w:t xml:space="preserve"> δεν μπορεί να εφαρμοσθεί στη μέση τιμή ανά ταχύτητα. Για αυτό προτείνεται να εφαρμοσθεί η παρακάτω μεθοδολογία κατά αντιστοιχία με τα προτεινόμενα ανωτέρω για τα οπτικά κυκλώματα </w:t>
      </w:r>
      <w:r w:rsidRPr="007629B9">
        <w:rPr>
          <w:rFonts w:ascii="Arial" w:hAnsi="Arial" w:cs="Arial"/>
          <w:lang w:val="en-US"/>
        </w:rPr>
        <w:t>Ethernet</w:t>
      </w:r>
      <w:r w:rsidRPr="007629B9">
        <w:rPr>
          <w:rFonts w:ascii="Arial" w:hAnsi="Arial" w:cs="Arial"/>
        </w:rPr>
        <w:t xml:space="preserve"> άνω των 200</w:t>
      </w:r>
      <w:r w:rsidRPr="007629B9">
        <w:rPr>
          <w:rFonts w:ascii="Arial" w:hAnsi="Arial" w:cs="Arial"/>
          <w:lang w:val="en-US"/>
        </w:rPr>
        <w:t>Mbps</w:t>
      </w:r>
      <w:r w:rsidRPr="007629B9">
        <w:rPr>
          <w:rFonts w:ascii="Arial" w:hAnsi="Arial" w:cs="Arial"/>
        </w:rPr>
        <w:t>.</w:t>
      </w:r>
    </w:p>
    <w:p w:rsidR="00F132EA" w:rsidRPr="007629B9" w:rsidRDefault="00F132EA" w:rsidP="00F132EA">
      <w:pPr>
        <w:pStyle w:val="ab"/>
        <w:keepNext/>
        <w:spacing w:line="276" w:lineRule="auto"/>
        <w:ind w:left="426"/>
        <w:rPr>
          <w:rFonts w:ascii="Arial" w:hAnsi="Arial" w:cs="Arial"/>
        </w:rPr>
      </w:pPr>
      <w:r w:rsidRPr="007629B9">
        <w:rPr>
          <w:rFonts w:ascii="Arial" w:hAnsi="Arial" w:cs="Arial"/>
        </w:rPr>
        <w:t xml:space="preserve">Εικόνα </w:t>
      </w:r>
      <w:r w:rsidRPr="007629B9">
        <w:rPr>
          <w:rFonts w:ascii="Arial" w:hAnsi="Arial" w:cs="Arial"/>
          <w:noProof/>
        </w:rPr>
        <w:fldChar w:fldCharType="begin"/>
      </w:r>
      <w:r w:rsidRPr="007629B9">
        <w:rPr>
          <w:rFonts w:ascii="Arial" w:hAnsi="Arial" w:cs="Arial"/>
          <w:noProof/>
        </w:rPr>
        <w:instrText xml:space="preserve"> SEQ Εικόνα \* ARABIC </w:instrText>
      </w:r>
      <w:r w:rsidRPr="007629B9">
        <w:rPr>
          <w:rFonts w:ascii="Arial" w:hAnsi="Arial" w:cs="Arial"/>
          <w:noProof/>
        </w:rPr>
        <w:fldChar w:fldCharType="separate"/>
      </w:r>
      <w:r w:rsidR="00AA447F">
        <w:rPr>
          <w:rFonts w:ascii="Arial" w:hAnsi="Arial" w:cs="Arial"/>
          <w:noProof/>
        </w:rPr>
        <w:t>4</w:t>
      </w:r>
      <w:r w:rsidRPr="007629B9">
        <w:rPr>
          <w:rFonts w:ascii="Arial" w:hAnsi="Arial" w:cs="Arial"/>
          <w:noProof/>
        </w:rPr>
        <w:fldChar w:fldCharType="end"/>
      </w:r>
      <w:r w:rsidRPr="007629B9">
        <w:rPr>
          <w:rFonts w:ascii="Arial" w:hAnsi="Arial" w:cs="Arial"/>
        </w:rPr>
        <w:t>: Μέση τιμή λιανικής ανά ταχύτητα ασύρματων κυκλωμάτων OTE</w:t>
      </w:r>
    </w:p>
    <w:p w:rsidR="00F132EA" w:rsidRPr="007629B9" w:rsidRDefault="00F132EA" w:rsidP="00F132EA">
      <w:pPr>
        <w:spacing w:line="276" w:lineRule="auto"/>
        <w:ind w:left="426"/>
        <w:jc w:val="both"/>
        <w:rPr>
          <w:rFonts w:ascii="Arial" w:hAnsi="Arial" w:cs="Arial"/>
        </w:rPr>
      </w:pPr>
    </w:p>
    <w:p w:rsidR="00F132EA" w:rsidRPr="007629B9" w:rsidRDefault="00F71D9A" w:rsidP="00F71D9A">
      <w:pPr>
        <w:spacing w:line="276" w:lineRule="auto"/>
        <w:ind w:left="426"/>
        <w:jc w:val="center"/>
        <w:rPr>
          <w:rFonts w:ascii="Arial" w:hAnsi="Arial" w:cs="Arial"/>
        </w:rPr>
      </w:pPr>
      <w:r w:rsidRPr="007629B9">
        <w:rPr>
          <w:noProof/>
        </w:rPr>
        <w:t>[…]</w:t>
      </w:r>
    </w:p>
    <w:p w:rsidR="00F132EA" w:rsidRPr="007629B9" w:rsidRDefault="00F132EA" w:rsidP="00F132EA">
      <w:pPr>
        <w:spacing w:line="276" w:lineRule="auto"/>
        <w:ind w:left="426"/>
        <w:jc w:val="both"/>
        <w:rPr>
          <w:rFonts w:ascii="Arial" w:hAnsi="Arial" w:cs="Arial"/>
        </w:rPr>
      </w:pP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Σύμφωνα με τα στοιχεία του ανωτέρω Πίνακα ο μέσος όρος των μέσων τιμών λιανικής του ΟΤΕ ανά ταχύτητα υπολογίζεται σε </w:t>
      </w:r>
      <w:r w:rsidR="00EE3F5A" w:rsidRPr="007629B9">
        <w:rPr>
          <w:rFonts w:ascii="Arial" w:hAnsi="Arial" w:cs="Arial"/>
        </w:rPr>
        <w:t>[…]</w:t>
      </w:r>
      <w:r w:rsidRPr="007629B9">
        <w:rPr>
          <w:rFonts w:ascii="Arial" w:hAnsi="Arial" w:cs="Arial"/>
        </w:rPr>
        <w:t xml:space="preserve">. Με μία μείωση κατά 46% στη μέση τιμή λιανικής, η προτεινόμενη μέση τιμή χονδρικής ανέρχεται σε </w:t>
      </w:r>
      <w:r w:rsidR="00EE3F5A" w:rsidRPr="007629B9">
        <w:rPr>
          <w:rFonts w:ascii="Arial" w:hAnsi="Arial" w:cs="Arial"/>
        </w:rPr>
        <w:t>[…]</w:t>
      </w:r>
      <w:r w:rsidRPr="007629B9">
        <w:rPr>
          <w:rFonts w:ascii="Arial" w:hAnsi="Arial" w:cs="Arial"/>
        </w:rPr>
        <w:t xml:space="preserve">. Στους συγκεκριμένους υπολογισμούς του μέσου όρου των μέσων τιμών λιανικής δεν λαμβάνεται υπόψη ο αριθμός κυκλωμάτων ανά ταχύτητα (αφού δεν υπολογίζεται σταθμισμένος μέσος όρος λόγω του μικρού αριθμού κυκλωμάτων σε κάποιες ταχύτητες). Για να συνυπολογιστεί ο αριθμός κυκλωμάτων κατά τον έλεγχο εφαρμογής του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minus</w:t>
      </w:r>
      <w:proofErr w:type="spellEnd"/>
      <w:r w:rsidRPr="007629B9">
        <w:rPr>
          <w:rFonts w:ascii="Arial" w:hAnsi="Arial" w:cs="Arial"/>
        </w:rPr>
        <w:t xml:space="preserve"> θα γίνει επιπροσθέτως έλεγχος και του συνολικού κόστους χονδρικής σε σχέση με το συνολικό έσοδο λιανικής, το οποίο όπως και στην περίπτωση των ενσύρματων κυκλωμάτων </w:t>
      </w:r>
      <w:proofErr w:type="spellStart"/>
      <w:r w:rsidRPr="007629B9">
        <w:rPr>
          <w:rFonts w:ascii="Arial" w:hAnsi="Arial" w:cs="Arial"/>
        </w:rPr>
        <w:t>Ethernet</w:t>
      </w:r>
      <w:proofErr w:type="spellEnd"/>
      <w:r w:rsidRPr="007629B9">
        <w:rPr>
          <w:rFonts w:ascii="Arial" w:hAnsi="Arial" w:cs="Arial"/>
        </w:rPr>
        <w:t xml:space="preserve"> πρέπει να είναι 43% χαμηλότερο.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Συνεπώς, ο ΟΤΕ πρέπει να προσδιορίσει τιμές χονδρικής για ασύρματα κυκλώματα ώστε να ικανοποιούνται από τις εν λόγω τιμές οι ακόλουθες δύο (2) συνθήκες:  </w:t>
      </w:r>
    </w:p>
    <w:p w:rsidR="00F132EA" w:rsidRPr="00744153" w:rsidRDefault="00F132EA" w:rsidP="00F132EA">
      <w:pPr>
        <w:pStyle w:val="ac"/>
        <w:numPr>
          <w:ilvl w:val="0"/>
          <w:numId w:val="11"/>
        </w:numPr>
        <w:spacing w:after="160"/>
        <w:ind w:left="993" w:hanging="426"/>
        <w:jc w:val="both"/>
        <w:rPr>
          <w:rFonts w:ascii="Arial" w:hAnsi="Arial" w:cs="Arial"/>
          <w:sz w:val="24"/>
          <w:szCs w:val="24"/>
        </w:rPr>
      </w:pPr>
      <w:r w:rsidRPr="00744153">
        <w:rPr>
          <w:rFonts w:ascii="Arial" w:hAnsi="Arial" w:cs="Arial"/>
          <w:sz w:val="24"/>
          <w:szCs w:val="24"/>
        </w:rPr>
        <w:t xml:space="preserve">ο μέσος όρος των τιμών χονδρικής του ΟΤΕ για τις ταχύτητες 1, 2, 4, 6, 8, 10, 15, 20, 25, 30, 40, 50, 60, 70, 80, 90, 100, 120, 150, 200, 250, 300, 400, 500 </w:t>
      </w:r>
      <w:r w:rsidRPr="00744153">
        <w:rPr>
          <w:rFonts w:ascii="Arial" w:hAnsi="Arial" w:cs="Arial"/>
          <w:sz w:val="24"/>
          <w:szCs w:val="24"/>
          <w:lang w:val="en-US"/>
        </w:rPr>
        <w:t>Mbps</w:t>
      </w:r>
      <w:r w:rsidRPr="00744153">
        <w:rPr>
          <w:rFonts w:ascii="Arial" w:hAnsi="Arial" w:cs="Arial"/>
          <w:sz w:val="24"/>
          <w:szCs w:val="24"/>
        </w:rPr>
        <w:t xml:space="preserve"> να είναι τουλάχιστον 46% χαμηλότερος από τον μέσο όρο των αντίστοιχων μέσων τιμών λιανικής (</w:t>
      </w:r>
      <w:proofErr w:type="spellStart"/>
      <w:r w:rsidRPr="00744153">
        <w:rPr>
          <w:rFonts w:ascii="Arial" w:hAnsi="Arial" w:cs="Arial"/>
          <w:sz w:val="24"/>
          <w:szCs w:val="24"/>
        </w:rPr>
        <w:t>δηλ</w:t>
      </w:r>
      <w:proofErr w:type="spellEnd"/>
      <w:r w:rsidRPr="00744153">
        <w:rPr>
          <w:rFonts w:ascii="Arial" w:hAnsi="Arial" w:cs="Arial"/>
          <w:sz w:val="24"/>
          <w:szCs w:val="24"/>
        </w:rPr>
        <w:t xml:space="preserve"> ο μέσος όρος των τιμών χονδρικής των ως άνω ταχυτήτων </w:t>
      </w:r>
      <w:r w:rsidR="00EE3F5A" w:rsidRPr="007629B9">
        <w:rPr>
          <w:rFonts w:ascii="Arial" w:hAnsi="Arial" w:cs="Arial"/>
          <w:sz w:val="24"/>
          <w:szCs w:val="24"/>
        </w:rPr>
        <w:t xml:space="preserve">να μην είναι ψηλότερος από </w:t>
      </w:r>
      <w:r w:rsidR="00EE3F5A" w:rsidRPr="00744153">
        <w:rPr>
          <w:rFonts w:ascii="Arial" w:hAnsi="Arial" w:cs="Arial"/>
          <w:sz w:val="24"/>
          <w:szCs w:val="24"/>
        </w:rPr>
        <w:t>[</w:t>
      </w:r>
      <w:r w:rsidR="00EE3F5A" w:rsidRPr="007629B9">
        <w:rPr>
          <w:rFonts w:ascii="Arial" w:hAnsi="Arial" w:cs="Arial"/>
          <w:sz w:val="24"/>
          <w:szCs w:val="24"/>
        </w:rPr>
        <w:t>…</w:t>
      </w:r>
      <w:r w:rsidR="00EE3F5A" w:rsidRPr="00744153">
        <w:rPr>
          <w:rFonts w:ascii="Arial" w:hAnsi="Arial" w:cs="Arial"/>
          <w:sz w:val="24"/>
          <w:szCs w:val="24"/>
        </w:rPr>
        <w:t>]</w:t>
      </w:r>
      <w:r w:rsidRPr="00744153">
        <w:rPr>
          <w:rFonts w:ascii="Arial" w:hAnsi="Arial" w:cs="Arial"/>
          <w:sz w:val="24"/>
          <w:szCs w:val="24"/>
        </w:rPr>
        <w:t xml:space="preserve">) και </w:t>
      </w:r>
    </w:p>
    <w:p w:rsidR="00F132EA" w:rsidRPr="00744153" w:rsidRDefault="00F132EA" w:rsidP="00F132EA">
      <w:pPr>
        <w:pStyle w:val="ac"/>
        <w:numPr>
          <w:ilvl w:val="0"/>
          <w:numId w:val="11"/>
        </w:numPr>
        <w:spacing w:after="160"/>
        <w:ind w:left="993" w:hanging="426"/>
        <w:jc w:val="both"/>
        <w:rPr>
          <w:rFonts w:ascii="Arial" w:hAnsi="Arial" w:cs="Arial"/>
          <w:sz w:val="24"/>
          <w:szCs w:val="24"/>
        </w:rPr>
      </w:pPr>
      <w:r w:rsidRPr="00744153">
        <w:rPr>
          <w:rFonts w:ascii="Arial" w:hAnsi="Arial" w:cs="Arial"/>
          <w:sz w:val="24"/>
          <w:szCs w:val="24"/>
        </w:rPr>
        <w:t xml:space="preserve">το συνολικό κόστος χονδρικής που θα προκύπτει λαμβάνοντας υπόψη τον αριθμό κυκλωμάτων λιανικής ανά κατηγορία (για τις ταχύτητες 1, 2, 4, 6, 8, 10, 15, 20, 25, 30, 40, 50, 60, 70, 80, 90, 100, 120, 150, 200, 250, 300, 400, 500 </w:t>
      </w:r>
      <w:r w:rsidRPr="00744153">
        <w:rPr>
          <w:rFonts w:ascii="Arial" w:hAnsi="Arial" w:cs="Arial"/>
          <w:sz w:val="24"/>
          <w:szCs w:val="24"/>
          <w:lang w:val="en-US"/>
        </w:rPr>
        <w:t>Mbps</w:t>
      </w:r>
      <w:r w:rsidRPr="00744153">
        <w:rPr>
          <w:rFonts w:ascii="Arial" w:hAnsi="Arial" w:cs="Arial"/>
          <w:sz w:val="24"/>
          <w:szCs w:val="24"/>
        </w:rPr>
        <w:t xml:space="preserve">) πρέπει να είναι τουλάχιστον 43% μικρότερο από το αντίστοιχο έσοδο λιανικής. </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Για τον υπολογισμό του εσόδου θα γίνει η υπόθεση ότι κάθε κύκλωμα έχει ένα άκρο. Με βάση τα στοιχεία που έχει προσκομίσει ο ΟΤΕ το έσοδο λιανικής υπολογίστηκε σε </w:t>
      </w:r>
      <w:r w:rsidR="00EE3F5A" w:rsidRPr="00744153">
        <w:rPr>
          <w:rFonts w:ascii="Arial" w:hAnsi="Arial" w:cs="Arial"/>
        </w:rPr>
        <w:t>[…]</w:t>
      </w:r>
      <w:r w:rsidRPr="007629B9">
        <w:rPr>
          <w:rFonts w:ascii="Arial" w:hAnsi="Arial" w:cs="Arial"/>
        </w:rPr>
        <w:t xml:space="preserve">. Συνεπώς βάσει των τιμών χονδρικής που θα προσδιοριστούν το συνολικό κόστος χονδρικής δεν μπορεί να υπερβαίνει </w:t>
      </w:r>
      <w:r w:rsidR="00EE3F5A" w:rsidRPr="00744153">
        <w:rPr>
          <w:rFonts w:ascii="Arial" w:hAnsi="Arial" w:cs="Arial"/>
        </w:rPr>
        <w:t>[…]</w:t>
      </w:r>
      <w:r w:rsidRPr="007629B9">
        <w:rPr>
          <w:rFonts w:ascii="Arial" w:hAnsi="Arial" w:cs="Arial"/>
        </w:rPr>
        <w:t xml:space="preserve">.   </w:t>
      </w:r>
    </w:p>
    <w:p w:rsidR="00F132EA" w:rsidRPr="007629B9" w:rsidRDefault="00F132EA" w:rsidP="00F132EA">
      <w:pPr>
        <w:spacing w:line="276" w:lineRule="auto"/>
        <w:ind w:left="426"/>
        <w:jc w:val="both"/>
        <w:rPr>
          <w:rFonts w:ascii="Arial" w:hAnsi="Arial" w:cs="Arial"/>
        </w:rPr>
      </w:pPr>
    </w:p>
    <w:p w:rsidR="00F132EA" w:rsidRPr="007629B9" w:rsidRDefault="00F132EA" w:rsidP="001B272F">
      <w:pPr>
        <w:numPr>
          <w:ilvl w:val="0"/>
          <w:numId w:val="20"/>
        </w:numPr>
        <w:spacing w:before="120" w:after="120" w:line="276" w:lineRule="auto"/>
        <w:jc w:val="both"/>
        <w:rPr>
          <w:rFonts w:ascii="Arial" w:hAnsi="Arial" w:cs="Arial"/>
        </w:rPr>
      </w:pPr>
      <w:r w:rsidRPr="007629B9">
        <w:rPr>
          <w:rFonts w:ascii="Arial" w:hAnsi="Arial" w:cs="Arial"/>
        </w:rPr>
        <w:t>Έλεγχος δυνατότητας ικανοποίησης αιτήματος ανά τεχνολογία</w:t>
      </w:r>
    </w:p>
    <w:p w:rsidR="00F132EA" w:rsidRPr="007629B9" w:rsidRDefault="00F132EA" w:rsidP="00F132EA">
      <w:pPr>
        <w:spacing w:line="276" w:lineRule="auto"/>
        <w:ind w:left="426"/>
        <w:jc w:val="both"/>
        <w:rPr>
          <w:rFonts w:ascii="Arial" w:hAnsi="Arial" w:cs="Arial"/>
        </w:rPr>
      </w:pPr>
      <w:r w:rsidRPr="007629B9">
        <w:rPr>
          <w:rFonts w:ascii="Arial" w:hAnsi="Arial" w:cs="Arial"/>
        </w:rPr>
        <w:t xml:space="preserve">Για κάθε αίτημα παροχής μισθωμένων γραμμών χονδρικής που υποβάλλεται στον ΟΤΕ, ο ΟΤΕ πραγματοποιεί έλεγχο </w:t>
      </w:r>
      <w:proofErr w:type="spellStart"/>
      <w:r w:rsidRPr="007629B9">
        <w:rPr>
          <w:rFonts w:ascii="Arial" w:hAnsi="Arial" w:cs="Arial"/>
        </w:rPr>
        <w:t>εφικτότητας</w:t>
      </w:r>
      <w:proofErr w:type="spellEnd"/>
      <w:r w:rsidRPr="007629B9">
        <w:rPr>
          <w:rFonts w:ascii="Arial" w:hAnsi="Arial" w:cs="Arial"/>
        </w:rPr>
        <w:t xml:space="preserve"> παροχής της εν  λόγω υπηρεσίας.  Τα κόστη του εν λόγω ελέγχου </w:t>
      </w:r>
      <w:proofErr w:type="spellStart"/>
      <w:r w:rsidRPr="007629B9">
        <w:rPr>
          <w:rFonts w:ascii="Arial" w:hAnsi="Arial" w:cs="Arial"/>
        </w:rPr>
        <w:t>εφικτότητας</w:t>
      </w:r>
      <w:proofErr w:type="spellEnd"/>
      <w:r w:rsidRPr="007629B9">
        <w:rPr>
          <w:rFonts w:ascii="Arial" w:hAnsi="Arial" w:cs="Arial"/>
        </w:rPr>
        <w:t xml:space="preserve"> είναι ενσωματωμένα στις χονδρικές τιμές παροχής των κυκλωμάτων. Στην περίπτωση που, ενώ ο έλεγχος </w:t>
      </w:r>
      <w:proofErr w:type="spellStart"/>
      <w:r w:rsidRPr="007629B9">
        <w:rPr>
          <w:rFonts w:ascii="Arial" w:hAnsi="Arial" w:cs="Arial"/>
        </w:rPr>
        <w:t>εφικτότητας</w:t>
      </w:r>
      <w:proofErr w:type="spellEnd"/>
      <w:r w:rsidRPr="007629B9">
        <w:rPr>
          <w:rFonts w:ascii="Arial" w:hAnsi="Arial" w:cs="Arial"/>
        </w:rPr>
        <w:t xml:space="preserve"> καταλήγει ότι το συγκεκριμένο αίτημα δύναται να ικανοποιηθεί, ο αιτών </w:t>
      </w:r>
      <w:proofErr w:type="spellStart"/>
      <w:r w:rsidRPr="007629B9">
        <w:rPr>
          <w:rFonts w:ascii="Arial" w:hAnsi="Arial" w:cs="Arial"/>
        </w:rPr>
        <w:t>πάροχος</w:t>
      </w:r>
      <w:proofErr w:type="spellEnd"/>
      <w:r w:rsidRPr="007629B9">
        <w:rPr>
          <w:rFonts w:ascii="Arial" w:hAnsi="Arial" w:cs="Arial"/>
        </w:rPr>
        <w:t xml:space="preserve"> αποσύρει το αίτημά του ή δεν προχωρήσει στην προμήθεια της εν λόγω υπηρεσίας, ο αιτών </w:t>
      </w:r>
      <w:proofErr w:type="spellStart"/>
      <w:r w:rsidRPr="007629B9">
        <w:rPr>
          <w:rFonts w:ascii="Arial" w:hAnsi="Arial" w:cs="Arial"/>
        </w:rPr>
        <w:t>πάροχος</w:t>
      </w:r>
      <w:proofErr w:type="spellEnd"/>
      <w:r w:rsidRPr="007629B9">
        <w:rPr>
          <w:rFonts w:ascii="Arial" w:hAnsi="Arial" w:cs="Arial"/>
        </w:rPr>
        <w:t xml:space="preserve"> οφείλει να καταβάλει στον ΟΤΕ σχετικό τέλος εξέτασης της </w:t>
      </w:r>
      <w:proofErr w:type="spellStart"/>
      <w:r w:rsidRPr="007629B9">
        <w:rPr>
          <w:rFonts w:ascii="Arial" w:hAnsi="Arial" w:cs="Arial"/>
        </w:rPr>
        <w:t>εφικτότητας</w:t>
      </w:r>
      <w:proofErr w:type="spellEnd"/>
      <w:r w:rsidRPr="007629B9">
        <w:rPr>
          <w:rFonts w:ascii="Arial" w:hAnsi="Arial" w:cs="Arial"/>
        </w:rPr>
        <w:t xml:space="preserve"> παροχής χονδρικού κυκλώματος, το οποίο θα προσδιοριστεί με </w:t>
      </w:r>
      <w:proofErr w:type="spellStart"/>
      <w:r w:rsidRPr="007629B9">
        <w:rPr>
          <w:rFonts w:ascii="Arial" w:hAnsi="Arial" w:cs="Arial"/>
        </w:rPr>
        <w:t>bottom-up</w:t>
      </w:r>
      <w:proofErr w:type="spellEnd"/>
      <w:r w:rsidRPr="007629B9">
        <w:rPr>
          <w:rFonts w:ascii="Arial" w:hAnsi="Arial" w:cs="Arial"/>
        </w:rPr>
        <w:t xml:space="preserve"> μοντέλο.</w:t>
      </w:r>
    </w:p>
    <w:p w:rsidR="00EE3F5A" w:rsidRPr="007629B9" w:rsidRDefault="00EE3F5A" w:rsidP="00F132EA">
      <w:pPr>
        <w:spacing w:line="276" w:lineRule="auto"/>
        <w:ind w:left="426"/>
        <w:jc w:val="both"/>
        <w:rPr>
          <w:rFonts w:ascii="Arial" w:hAnsi="Arial" w:cs="Arial"/>
        </w:rPr>
      </w:pPr>
    </w:p>
    <w:p w:rsidR="007609DC" w:rsidRPr="007629B9" w:rsidRDefault="00EE3F5A" w:rsidP="00744153">
      <w:pPr>
        <w:numPr>
          <w:ilvl w:val="0"/>
          <w:numId w:val="20"/>
        </w:numPr>
        <w:spacing w:before="120" w:after="120" w:line="276" w:lineRule="auto"/>
        <w:jc w:val="both"/>
        <w:rPr>
          <w:rFonts w:ascii="Arial" w:hAnsi="Arial" w:cs="Arial"/>
        </w:rPr>
      </w:pPr>
      <w:r w:rsidRPr="007629B9">
        <w:rPr>
          <w:rFonts w:ascii="Arial" w:hAnsi="Arial" w:cs="Arial"/>
        </w:rPr>
        <w:t>Βάσει της ανωτέρω ανάλυσης, η ΕΕΤΤ προτείνει την ακόλουθη μεθοδολογία προσδιορισμού των τιμών:</w:t>
      </w:r>
    </w:p>
    <w:p w:rsidR="00633318" w:rsidRPr="007629B9" w:rsidRDefault="00633318" w:rsidP="00B605DB">
      <w:pPr>
        <w:autoSpaceDE w:val="0"/>
        <w:autoSpaceDN w:val="0"/>
        <w:adjustRightInd w:val="0"/>
        <w:spacing w:after="120" w:line="276" w:lineRule="auto"/>
        <w:jc w:val="both"/>
        <w:rPr>
          <w:rFonts w:ascii="Arial" w:hAnsi="Arial" w:cs="Arial"/>
        </w:rPr>
      </w:pPr>
    </w:p>
    <w:p w:rsidR="007609DC" w:rsidRPr="007629B9" w:rsidRDefault="007609DC" w:rsidP="00FA6252">
      <w:pPr>
        <w:spacing w:after="120" w:line="276" w:lineRule="auto"/>
        <w:ind w:left="720" w:hanging="720"/>
        <w:jc w:val="both"/>
        <w:rPr>
          <w:rFonts w:ascii="Arial" w:hAnsi="Arial" w:cs="Arial"/>
        </w:rPr>
      </w:pPr>
    </w:p>
    <w:p w:rsidR="00F132EA" w:rsidRPr="007629B9" w:rsidRDefault="00F132EA" w:rsidP="00F132EA">
      <w:pPr>
        <w:pStyle w:val="ac"/>
        <w:numPr>
          <w:ilvl w:val="0"/>
          <w:numId w:val="13"/>
        </w:numPr>
        <w:spacing w:before="120" w:after="120"/>
        <w:ind w:left="426" w:hanging="426"/>
        <w:rPr>
          <w:rFonts w:ascii="Arial" w:hAnsi="Arial" w:cs="Arial"/>
          <w:b/>
          <w:sz w:val="24"/>
          <w:szCs w:val="24"/>
          <w:u w:val="single"/>
        </w:rPr>
      </w:pPr>
      <w:r w:rsidRPr="007629B9">
        <w:rPr>
          <w:rFonts w:ascii="Arial" w:hAnsi="Arial" w:cs="Arial"/>
          <w:b/>
          <w:sz w:val="24"/>
          <w:szCs w:val="24"/>
          <w:u w:val="single"/>
        </w:rPr>
        <w:t>ΜΕΘΟΔΟΛΟΓΙΑ ΠΡΟΣΔΙΟΡΙΣΜΟΥ ΠΕΡΙΘΩΡΙΟΥ ΧΟΝΔΡΙΚΗΣ ΛΙΑΝΙΚΗΣ ΜΙΣΘΩΜΕΝΩΝ ΓΡΑΜΜΩΝ</w:t>
      </w:r>
    </w:p>
    <w:p w:rsidR="00F132EA" w:rsidRPr="007629B9" w:rsidRDefault="00F132EA" w:rsidP="00F132EA">
      <w:pPr>
        <w:pStyle w:val="ac"/>
        <w:numPr>
          <w:ilvl w:val="0"/>
          <w:numId w:val="12"/>
        </w:numPr>
        <w:spacing w:before="120" w:after="120"/>
        <w:ind w:left="851" w:hanging="425"/>
        <w:jc w:val="both"/>
        <w:rPr>
          <w:rFonts w:ascii="Arial" w:hAnsi="Arial" w:cs="Arial"/>
          <w:sz w:val="24"/>
          <w:szCs w:val="24"/>
        </w:rPr>
      </w:pPr>
      <w:r w:rsidRPr="007629B9">
        <w:rPr>
          <w:rFonts w:ascii="Arial" w:hAnsi="Arial" w:cs="Arial"/>
          <w:sz w:val="24"/>
          <w:szCs w:val="24"/>
        </w:rPr>
        <w:t xml:space="preserve">Ο καθορισμός του περιθωρίου μεταξύ χονδρικής και λιανικής μισθωμένων γραμμών θα γίνει με χρήση κατάλληλων στοιχείων από το κοστολογικό σύστημα του ΟΤΕ, απ’ όπου θα εξαχθούν τα κόστη λιανικής που σχετίζονται με τη διάθεση υπηρεσιών μισθωμένων γραμμών λιανικής, αξιοποιώντας ταυτόχρονα και τα διαθέσιμα στοιχεία Μισθωμένων Γραμμών λιανικής/χονδρικής των εναλλακτικών </w:t>
      </w:r>
      <w:proofErr w:type="spellStart"/>
      <w:r w:rsidRPr="007629B9">
        <w:rPr>
          <w:rFonts w:ascii="Arial" w:hAnsi="Arial" w:cs="Arial"/>
          <w:sz w:val="24"/>
          <w:szCs w:val="24"/>
        </w:rPr>
        <w:t>παρόχων</w:t>
      </w:r>
      <w:proofErr w:type="spellEnd"/>
      <w:r w:rsidRPr="007629B9">
        <w:rPr>
          <w:rFonts w:ascii="Arial" w:hAnsi="Arial" w:cs="Arial"/>
          <w:sz w:val="24"/>
          <w:szCs w:val="24"/>
        </w:rPr>
        <w:t>.  Το περιθώριο θα εκφράζεται ως ποσοστό αύξησης των τιμών χονδρικής (</w:t>
      </w:r>
      <w:r w:rsidRPr="007629B9">
        <w:rPr>
          <w:rFonts w:ascii="Arial" w:hAnsi="Arial" w:cs="Arial"/>
          <w:sz w:val="24"/>
          <w:szCs w:val="24"/>
          <w:lang w:val="en-US"/>
        </w:rPr>
        <w:t>retail</w:t>
      </w:r>
      <w:r w:rsidRPr="007629B9">
        <w:rPr>
          <w:rFonts w:ascii="Arial" w:hAnsi="Arial" w:cs="Arial"/>
          <w:sz w:val="24"/>
          <w:szCs w:val="24"/>
        </w:rPr>
        <w:t xml:space="preserve"> </w:t>
      </w:r>
      <w:r w:rsidRPr="007629B9">
        <w:rPr>
          <w:rFonts w:ascii="Arial" w:hAnsi="Arial" w:cs="Arial"/>
          <w:sz w:val="24"/>
          <w:szCs w:val="24"/>
          <w:lang w:val="en-US"/>
        </w:rPr>
        <w:t>increment</w:t>
      </w:r>
      <w:r w:rsidRPr="007629B9">
        <w:rPr>
          <w:rFonts w:ascii="Arial" w:hAnsi="Arial" w:cs="Arial"/>
          <w:sz w:val="24"/>
          <w:szCs w:val="24"/>
        </w:rPr>
        <w:t>) και με βάση αυτό θα γίνεται ο έλεγχος των προσφορών λιανικής του ΟΤΕ.</w:t>
      </w:r>
    </w:p>
    <w:p w:rsidR="00F132EA" w:rsidRPr="007629B9" w:rsidRDefault="00F132EA" w:rsidP="00F132EA">
      <w:pPr>
        <w:pStyle w:val="ac"/>
        <w:spacing w:before="120" w:after="120"/>
        <w:ind w:left="426"/>
        <w:jc w:val="both"/>
        <w:rPr>
          <w:rFonts w:ascii="Arial" w:hAnsi="Arial" w:cs="Arial"/>
          <w:sz w:val="24"/>
          <w:szCs w:val="24"/>
        </w:rPr>
      </w:pPr>
      <w:r w:rsidRPr="007629B9">
        <w:rPr>
          <w:rFonts w:ascii="Arial" w:hAnsi="Arial" w:cs="Arial"/>
          <w:sz w:val="24"/>
          <w:szCs w:val="24"/>
        </w:rPr>
        <w:t xml:space="preserve">  </w:t>
      </w:r>
    </w:p>
    <w:p w:rsidR="00F132EA" w:rsidRPr="007629B9" w:rsidRDefault="00F132EA" w:rsidP="00F132EA">
      <w:pPr>
        <w:pStyle w:val="ac"/>
        <w:numPr>
          <w:ilvl w:val="0"/>
          <w:numId w:val="12"/>
        </w:numPr>
        <w:spacing w:before="120" w:after="120"/>
        <w:ind w:left="851" w:hanging="425"/>
        <w:jc w:val="both"/>
        <w:rPr>
          <w:rFonts w:ascii="Arial" w:hAnsi="Arial" w:cs="Arial"/>
          <w:sz w:val="24"/>
          <w:szCs w:val="24"/>
        </w:rPr>
      </w:pPr>
      <w:r w:rsidRPr="007629B9">
        <w:rPr>
          <w:rFonts w:ascii="Arial" w:hAnsi="Arial" w:cs="Arial"/>
          <w:sz w:val="24"/>
          <w:szCs w:val="24"/>
        </w:rPr>
        <w:t xml:space="preserve">Το περιθώριο χονδρικής - λιανικής επαναπροσδιορίζεται εάν κριθεί αναγκαίο από την ΕΕΤΤ, ή μετά από αιτιολογημένο αίτημα του ΟΤΕ ή κάποιου άλλου </w:t>
      </w:r>
      <w:proofErr w:type="spellStart"/>
      <w:r w:rsidRPr="007629B9">
        <w:rPr>
          <w:rFonts w:ascii="Arial" w:hAnsi="Arial" w:cs="Arial"/>
          <w:sz w:val="24"/>
          <w:szCs w:val="24"/>
        </w:rPr>
        <w:t>παρόχου</w:t>
      </w:r>
      <w:proofErr w:type="spellEnd"/>
      <w:r w:rsidRPr="007629B9">
        <w:rPr>
          <w:rFonts w:ascii="Arial" w:hAnsi="Arial" w:cs="Arial"/>
          <w:sz w:val="24"/>
          <w:szCs w:val="24"/>
        </w:rPr>
        <w:t>.</w:t>
      </w:r>
    </w:p>
    <w:p w:rsidR="00F132EA" w:rsidRPr="007629B9" w:rsidRDefault="00F132EA" w:rsidP="00F132EA">
      <w:pPr>
        <w:spacing w:before="120" w:after="120" w:line="276" w:lineRule="auto"/>
        <w:jc w:val="center"/>
        <w:rPr>
          <w:rFonts w:ascii="Arial" w:hAnsi="Arial" w:cs="Arial"/>
          <w:b/>
          <w:u w:val="single"/>
        </w:rPr>
      </w:pPr>
    </w:p>
    <w:p w:rsidR="00F132EA" w:rsidRPr="007629B9" w:rsidRDefault="00F132EA" w:rsidP="00F132EA">
      <w:pPr>
        <w:pStyle w:val="ac"/>
        <w:numPr>
          <w:ilvl w:val="0"/>
          <w:numId w:val="13"/>
        </w:numPr>
        <w:spacing w:before="120" w:after="120"/>
        <w:ind w:left="426" w:hanging="426"/>
        <w:rPr>
          <w:rFonts w:ascii="Arial" w:hAnsi="Arial" w:cs="Arial"/>
          <w:b/>
          <w:sz w:val="24"/>
          <w:szCs w:val="24"/>
          <w:u w:val="single"/>
        </w:rPr>
      </w:pPr>
      <w:r w:rsidRPr="007629B9">
        <w:rPr>
          <w:rFonts w:ascii="Arial" w:hAnsi="Arial" w:cs="Arial"/>
          <w:b/>
          <w:sz w:val="24"/>
          <w:szCs w:val="24"/>
          <w:u w:val="single"/>
        </w:rPr>
        <w:t>ΜΕΘΟΔΟΛΟΓΙΑ ΠΡΟΣΔΙΟΡΙΣΜΟΥ ΧΟΝΔΡΙΚΩΝ ΤΙΜΩΝ ΤΕΡΜΑΤΙΚΩΝ ΚΑΙ ΖΕΥΚΤΙΚΩΝ ΚΥΚΛΩΜΑΤΩΝ ΜΙΣΘΩΜΕΝΩΝ ΓΡΑΜΜΩΝ</w:t>
      </w:r>
    </w:p>
    <w:p w:rsidR="00F132EA" w:rsidRPr="007629B9" w:rsidRDefault="00F132EA" w:rsidP="00F132EA">
      <w:pPr>
        <w:pStyle w:val="ac"/>
        <w:spacing w:before="120" w:after="120"/>
        <w:ind w:left="786"/>
        <w:jc w:val="both"/>
        <w:rPr>
          <w:rFonts w:ascii="Arial" w:hAnsi="Arial" w:cs="Arial"/>
          <w:sz w:val="24"/>
          <w:szCs w:val="24"/>
          <w:u w:val="single"/>
        </w:rPr>
      </w:pPr>
    </w:p>
    <w:p w:rsidR="00F132EA" w:rsidRPr="007629B9" w:rsidRDefault="00F132EA" w:rsidP="00F132EA">
      <w:pPr>
        <w:pStyle w:val="ac"/>
        <w:numPr>
          <w:ilvl w:val="0"/>
          <w:numId w:val="14"/>
        </w:numPr>
        <w:spacing w:before="120" w:after="120"/>
        <w:jc w:val="both"/>
        <w:rPr>
          <w:rFonts w:ascii="Arial" w:hAnsi="Arial" w:cs="Arial"/>
          <w:sz w:val="24"/>
          <w:szCs w:val="24"/>
          <w:u w:val="single"/>
        </w:rPr>
      </w:pPr>
      <w:r w:rsidRPr="007629B9">
        <w:rPr>
          <w:rFonts w:ascii="Arial" w:hAnsi="Arial" w:cs="Arial"/>
          <w:sz w:val="24"/>
          <w:szCs w:val="24"/>
          <w:u w:val="single"/>
        </w:rPr>
        <w:t>ΑΝΑΛΟΓΙΚΑ ΚΥΚΛΩΜΑΤΑ ΚΑΙ ΨΗΦΙΑΚΑ SDH/PDH</w:t>
      </w:r>
    </w:p>
    <w:p w:rsidR="00F132EA" w:rsidRPr="007629B9" w:rsidRDefault="00F132EA" w:rsidP="00F132EA">
      <w:pPr>
        <w:pStyle w:val="ac"/>
        <w:spacing w:before="120" w:after="120"/>
        <w:ind w:left="426"/>
        <w:jc w:val="both"/>
        <w:rPr>
          <w:rFonts w:ascii="Arial" w:hAnsi="Arial" w:cs="Arial"/>
          <w:sz w:val="24"/>
          <w:szCs w:val="24"/>
        </w:rPr>
      </w:pPr>
      <w:r w:rsidRPr="007629B9">
        <w:rPr>
          <w:rFonts w:ascii="Arial" w:hAnsi="Arial" w:cs="Arial"/>
          <w:sz w:val="24"/>
          <w:szCs w:val="24"/>
        </w:rPr>
        <w:t xml:space="preserve">Οι τιμές των αναλογικών κυκλωμάτων χονδρικής, καθώς και των ψηφιακών κυκλωμάτων τεχνολογίας </w:t>
      </w:r>
      <w:r w:rsidRPr="007629B9">
        <w:rPr>
          <w:rFonts w:ascii="Arial" w:hAnsi="Arial" w:cs="Arial"/>
          <w:sz w:val="24"/>
          <w:szCs w:val="24"/>
          <w:lang w:val="en-US"/>
        </w:rPr>
        <w:t>PDH</w:t>
      </w:r>
      <w:r w:rsidRPr="007629B9">
        <w:rPr>
          <w:rFonts w:ascii="Arial" w:hAnsi="Arial" w:cs="Arial"/>
          <w:sz w:val="24"/>
          <w:szCs w:val="24"/>
        </w:rPr>
        <w:t>/</w:t>
      </w:r>
      <w:r w:rsidRPr="007629B9">
        <w:rPr>
          <w:rFonts w:ascii="Arial" w:hAnsi="Arial" w:cs="Arial"/>
          <w:sz w:val="24"/>
          <w:szCs w:val="24"/>
          <w:lang w:val="en-US"/>
        </w:rPr>
        <w:t>SDH</w:t>
      </w:r>
      <w:r w:rsidRPr="007629B9">
        <w:rPr>
          <w:rFonts w:ascii="Arial" w:hAnsi="Arial" w:cs="Arial"/>
          <w:sz w:val="24"/>
          <w:szCs w:val="24"/>
        </w:rPr>
        <w:t xml:space="preserve"> ορίζονται ίσες με τις τιμές που υπολογίστηκαν  από το μοντέλο </w:t>
      </w:r>
      <w:r w:rsidRPr="007629B9">
        <w:rPr>
          <w:rFonts w:ascii="Arial" w:hAnsi="Arial" w:cs="Arial"/>
          <w:sz w:val="24"/>
          <w:szCs w:val="24"/>
          <w:lang w:val="en-US"/>
        </w:rPr>
        <w:t>top</w:t>
      </w:r>
      <w:r w:rsidRPr="007629B9">
        <w:rPr>
          <w:rFonts w:ascii="Arial" w:hAnsi="Arial" w:cs="Arial"/>
          <w:sz w:val="24"/>
          <w:szCs w:val="24"/>
        </w:rPr>
        <w:t>-</w:t>
      </w:r>
      <w:r w:rsidRPr="007629B9">
        <w:rPr>
          <w:rFonts w:ascii="Arial" w:hAnsi="Arial" w:cs="Arial"/>
          <w:sz w:val="24"/>
          <w:szCs w:val="24"/>
          <w:lang w:val="en-US"/>
        </w:rPr>
        <w:t>down</w:t>
      </w:r>
      <w:r w:rsidRPr="007629B9">
        <w:rPr>
          <w:rFonts w:ascii="Arial" w:hAnsi="Arial" w:cs="Arial"/>
          <w:sz w:val="24"/>
          <w:szCs w:val="24"/>
        </w:rPr>
        <w:t xml:space="preserve"> </w:t>
      </w:r>
      <w:r w:rsidRPr="007629B9">
        <w:rPr>
          <w:rFonts w:ascii="Arial" w:hAnsi="Arial" w:cs="Arial"/>
          <w:sz w:val="24"/>
          <w:szCs w:val="24"/>
          <w:lang w:val="en-US"/>
        </w:rPr>
        <w:t>LRIC</w:t>
      </w:r>
      <w:r w:rsidRPr="007629B9">
        <w:rPr>
          <w:rFonts w:ascii="Arial" w:hAnsi="Arial" w:cs="Arial"/>
          <w:sz w:val="24"/>
          <w:szCs w:val="24"/>
        </w:rPr>
        <w:t>+ του ΟΤΕ για το έτος 2019 και έχουν ελεγχθεί από ανεξάρτητο ελεγκτή.</w:t>
      </w:r>
    </w:p>
    <w:p w:rsidR="00F132EA" w:rsidRPr="007629B9" w:rsidRDefault="00F132EA" w:rsidP="00F132EA">
      <w:pPr>
        <w:pStyle w:val="ac"/>
        <w:spacing w:before="120" w:after="120"/>
        <w:ind w:left="426"/>
        <w:jc w:val="both"/>
        <w:rPr>
          <w:rFonts w:ascii="Arial" w:hAnsi="Arial" w:cs="Arial"/>
          <w:sz w:val="24"/>
          <w:szCs w:val="24"/>
        </w:rPr>
      </w:pPr>
    </w:p>
    <w:p w:rsidR="00F132EA" w:rsidRPr="007629B9" w:rsidRDefault="00F132EA" w:rsidP="00F132EA">
      <w:pPr>
        <w:pStyle w:val="ac"/>
        <w:numPr>
          <w:ilvl w:val="0"/>
          <w:numId w:val="14"/>
        </w:numPr>
        <w:spacing w:before="120" w:after="120"/>
        <w:jc w:val="both"/>
        <w:rPr>
          <w:rFonts w:ascii="Arial" w:hAnsi="Arial" w:cs="Arial"/>
          <w:sz w:val="24"/>
          <w:szCs w:val="24"/>
          <w:u w:val="single"/>
        </w:rPr>
      </w:pPr>
      <w:r w:rsidRPr="007629B9">
        <w:rPr>
          <w:rFonts w:ascii="Arial" w:hAnsi="Arial" w:cs="Arial"/>
          <w:sz w:val="24"/>
          <w:szCs w:val="24"/>
          <w:u w:val="single"/>
        </w:rPr>
        <w:t>ΨΗΦΙΑΚΑ ΚΥΚΛΩΜΑΤΑ ETHERNET, DIA και IP VPN ΓΙΑ ΤΑ ΟΠΟΙΑ ΥΠΑΡΧΟΥΝ ΠΡΟΪΟΝΤΑ ΧΟΝΔΡΙΚΗΣ, ΤΑ ΟΠΟΙΑ ΤΕΛΟΥΝ ΥΠΟ ΡΥΘΜΙΣΗ</w:t>
      </w:r>
    </w:p>
    <w:p w:rsidR="00F132EA" w:rsidRPr="007629B9" w:rsidRDefault="00F132EA" w:rsidP="00F132EA">
      <w:pPr>
        <w:pStyle w:val="ac"/>
        <w:numPr>
          <w:ilvl w:val="0"/>
          <w:numId w:val="15"/>
        </w:numPr>
        <w:spacing w:before="120" w:after="120"/>
        <w:ind w:left="1134" w:hanging="425"/>
        <w:jc w:val="both"/>
        <w:rPr>
          <w:rFonts w:ascii="Arial" w:hAnsi="Arial" w:cs="Arial"/>
          <w:sz w:val="24"/>
          <w:szCs w:val="24"/>
        </w:rPr>
      </w:pPr>
      <w:r w:rsidRPr="007629B9">
        <w:rPr>
          <w:rFonts w:ascii="Arial" w:hAnsi="Arial" w:cs="Arial"/>
          <w:sz w:val="24"/>
          <w:szCs w:val="24"/>
        </w:rPr>
        <w:t xml:space="preserve">Στο πλαίσιο της παρούσας διαδικασίας, ο ΟΤΕ και οι μεγάλοι </w:t>
      </w:r>
      <w:proofErr w:type="spellStart"/>
      <w:r w:rsidRPr="007629B9">
        <w:rPr>
          <w:rFonts w:ascii="Arial" w:hAnsi="Arial" w:cs="Arial"/>
          <w:sz w:val="24"/>
          <w:szCs w:val="24"/>
        </w:rPr>
        <w:t>πάροχοι</w:t>
      </w:r>
      <w:proofErr w:type="spellEnd"/>
      <w:r w:rsidRPr="007629B9">
        <w:rPr>
          <w:rFonts w:ascii="Arial" w:hAnsi="Arial" w:cs="Arial"/>
          <w:sz w:val="24"/>
          <w:szCs w:val="24"/>
        </w:rPr>
        <w:t xml:space="preserve"> που δραστηριοποιούνται στην αγορά υποβάλουν στην ΕΕΤΤ, κατόπιν αιτήματός της, αναλυτικές πληροφορίες</w:t>
      </w:r>
      <w:r w:rsidRPr="007629B9">
        <w:rPr>
          <w:rStyle w:val="af2"/>
          <w:rFonts w:ascii="Arial" w:hAnsi="Arial" w:cs="Arial"/>
          <w:sz w:val="24"/>
          <w:szCs w:val="24"/>
        </w:rPr>
        <w:footnoteReference w:id="1"/>
      </w:r>
      <w:r w:rsidRPr="007629B9">
        <w:rPr>
          <w:rFonts w:ascii="Arial" w:hAnsi="Arial" w:cs="Arial"/>
          <w:sz w:val="24"/>
          <w:szCs w:val="24"/>
        </w:rPr>
        <w:t xml:space="preserve"> για τις ΜΓ που παρέχουν σε επίπεδο λιανικής και χονδρικής. Συγκεκριμένα, οι εναλλακτικοί </w:t>
      </w:r>
      <w:proofErr w:type="spellStart"/>
      <w:r w:rsidRPr="007629B9">
        <w:rPr>
          <w:rFonts w:ascii="Arial" w:hAnsi="Arial" w:cs="Arial"/>
          <w:sz w:val="24"/>
          <w:szCs w:val="24"/>
        </w:rPr>
        <w:t>πάροχοι</w:t>
      </w:r>
      <w:proofErr w:type="spellEnd"/>
      <w:r w:rsidRPr="007629B9">
        <w:rPr>
          <w:rFonts w:ascii="Arial" w:hAnsi="Arial" w:cs="Arial"/>
          <w:sz w:val="24"/>
          <w:szCs w:val="24"/>
        </w:rPr>
        <w:t xml:space="preserve"> υποβάλουν στην ΕΕΤΤ για τις μεγαλύτερες λιανικές τους συμβάσεις, οι οποίες συγκεντρωτικά περιέχουν ένα ποσοστό τουλάχιστον 50% των γραμμών λιανικής, τις ακόλουθες πληροφορίες:</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Συνολική αξία (έσοδο) σύμβασης</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Αξία (έσοδο) των υπηρεσιών ΜΓ λιανικής που περιλαμβάνονται στη σύμβαση</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Κατηγορίες υπηρεσιών/προϊόντων ΜΓ λιανικής που περιλαμβάνονται στη σύμβαση</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 xml:space="preserve">Για κάθε κατηγορία κυκλωμάτων τη μέση τιμή για το σύνολο των κυκλωμάτων, το φυσικό μέσο μετάδοσης, την τεχνολογία, τη χωρητικότητα, τον αριθμό των κυκλωμάτων στη συγκεκριμένη κατηγορία, το μέσο μήκος κυκλώματος,  την τιμή ανά άκρο, την τιμή ανά </w:t>
      </w:r>
      <w:proofErr w:type="spellStart"/>
      <w:r w:rsidRPr="007629B9">
        <w:rPr>
          <w:rFonts w:ascii="Arial" w:hAnsi="Arial" w:cs="Arial"/>
          <w:sz w:val="24"/>
          <w:szCs w:val="24"/>
        </w:rPr>
        <w:t>χλμ</w:t>
      </w:r>
      <w:proofErr w:type="spellEnd"/>
      <w:r w:rsidRPr="007629B9">
        <w:rPr>
          <w:rFonts w:ascii="Arial" w:hAnsi="Arial" w:cs="Arial"/>
          <w:sz w:val="24"/>
          <w:szCs w:val="24"/>
        </w:rPr>
        <w:t>, αριθμό άκρων, το μέσο αριθμό χιλιομέτρων, το αντίστοιχο προϊόν χονδρικής του ΟΤΕ, καθώς και την τιμή του.</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 xml:space="preserve">Ειδικά για τα ασύρματα κυκλώματα, θα παρέχεται επιπλέον η πληροφορία αναφορικά με το μέσο μετάδοσης του </w:t>
      </w:r>
      <w:proofErr w:type="spellStart"/>
      <w:r w:rsidRPr="007629B9">
        <w:rPr>
          <w:rFonts w:ascii="Arial" w:hAnsi="Arial" w:cs="Arial"/>
          <w:sz w:val="24"/>
          <w:szCs w:val="24"/>
        </w:rPr>
        <w:t>ζευκτικού</w:t>
      </w:r>
      <w:proofErr w:type="spellEnd"/>
      <w:r w:rsidRPr="007629B9">
        <w:rPr>
          <w:rFonts w:ascii="Arial" w:hAnsi="Arial" w:cs="Arial"/>
          <w:sz w:val="24"/>
          <w:szCs w:val="24"/>
        </w:rPr>
        <w:t xml:space="preserve"> τμήματός τους, ενώ δεν θα υποβάλλονται πληροφορίες αναφορικά με το αντίστοιχο προϊόν χονδρικής του ΟΤΕ.</w:t>
      </w:r>
    </w:p>
    <w:p w:rsidR="00F132EA" w:rsidRPr="007629B9" w:rsidRDefault="00F132EA" w:rsidP="00F132EA">
      <w:pPr>
        <w:pStyle w:val="ac"/>
        <w:numPr>
          <w:ilvl w:val="1"/>
          <w:numId w:val="15"/>
        </w:numPr>
        <w:spacing w:before="120" w:after="120"/>
        <w:ind w:left="1560" w:hanging="426"/>
        <w:jc w:val="both"/>
        <w:rPr>
          <w:rFonts w:ascii="Arial" w:hAnsi="Arial" w:cs="Arial"/>
          <w:sz w:val="24"/>
          <w:szCs w:val="24"/>
        </w:rPr>
      </w:pPr>
      <w:r w:rsidRPr="007629B9">
        <w:rPr>
          <w:rFonts w:ascii="Arial" w:hAnsi="Arial" w:cs="Arial"/>
          <w:sz w:val="24"/>
          <w:szCs w:val="24"/>
        </w:rPr>
        <w:t>Αντίστοιχες πληροφορίες θα δίνονται για τα κυκλώματα σε χονδρικό επίπεδο για τους 5 μεγαλύτερους από άποψη ύψους σύμβασης χονδρικούς πελάτες για τα προϊόντα του πίνακα λιανικής.</w:t>
      </w:r>
    </w:p>
    <w:p w:rsidR="00F132EA" w:rsidRPr="007629B9" w:rsidRDefault="00F132EA" w:rsidP="00F132EA">
      <w:pPr>
        <w:pStyle w:val="ac"/>
        <w:numPr>
          <w:ilvl w:val="0"/>
          <w:numId w:val="15"/>
        </w:numPr>
        <w:spacing w:before="120" w:after="120"/>
        <w:ind w:left="1134" w:hanging="425"/>
        <w:jc w:val="both"/>
        <w:rPr>
          <w:rFonts w:ascii="Arial" w:hAnsi="Arial" w:cs="Arial"/>
          <w:sz w:val="24"/>
          <w:szCs w:val="24"/>
        </w:rPr>
      </w:pPr>
      <w:r w:rsidRPr="007629B9">
        <w:rPr>
          <w:rFonts w:ascii="Arial" w:hAnsi="Arial" w:cs="Arial"/>
          <w:sz w:val="24"/>
          <w:szCs w:val="24"/>
        </w:rPr>
        <w:t xml:space="preserve">Αντίστοιχες πληροφορίες  υποβάλει και ο ΟΤΕ για τα κυκλώματα λιανικής του, αλλά στην περίπτωσή του ανά κύκλωμα και όχι συνολικά ανά κατηγορία κυκλωμάτων. Για τις πληροφορίες που απαιτούνται για τα κυκλώματα χονδρικής του ΟΤΕ θα χρησιμοποιηθεί ο εγκεκριμένος από την ΕΕΤΤ τιμοκατάλογός του. Επίσης, ο ΟΤΕ συμπεριλαμβάνει πληροφορίες για την ύπαρξη ή όχι </w:t>
      </w:r>
      <w:proofErr w:type="spellStart"/>
      <w:r w:rsidRPr="007629B9">
        <w:rPr>
          <w:rFonts w:ascii="Arial" w:hAnsi="Arial" w:cs="Arial"/>
          <w:sz w:val="24"/>
          <w:szCs w:val="24"/>
        </w:rPr>
        <w:t>advance</w:t>
      </w:r>
      <w:proofErr w:type="spellEnd"/>
      <w:r w:rsidRPr="007629B9">
        <w:rPr>
          <w:rFonts w:ascii="Arial" w:hAnsi="Arial" w:cs="Arial"/>
          <w:sz w:val="24"/>
          <w:szCs w:val="24"/>
        </w:rPr>
        <w:t xml:space="preserve"> SLA.</w:t>
      </w:r>
    </w:p>
    <w:p w:rsidR="00F132EA" w:rsidRPr="007629B9" w:rsidRDefault="00F132EA" w:rsidP="00F132EA">
      <w:pPr>
        <w:pStyle w:val="ac"/>
        <w:numPr>
          <w:ilvl w:val="0"/>
          <w:numId w:val="15"/>
        </w:numPr>
        <w:spacing w:before="120" w:after="120"/>
        <w:ind w:left="1134" w:hanging="425"/>
        <w:jc w:val="both"/>
        <w:rPr>
          <w:rFonts w:ascii="Arial" w:hAnsi="Arial" w:cs="Arial"/>
          <w:sz w:val="24"/>
          <w:szCs w:val="24"/>
        </w:rPr>
      </w:pPr>
      <w:r w:rsidRPr="007629B9">
        <w:rPr>
          <w:rFonts w:ascii="Arial" w:hAnsi="Arial" w:cs="Arial"/>
          <w:sz w:val="24"/>
          <w:szCs w:val="24"/>
        </w:rPr>
        <w:t xml:space="preserve">Η ΕΕΤΤ με βάση τα στοιχεία του ΟΤΕ συγκρίνει τα συνολικά έσοδα λιανικής με τα αντίστοιχα κόστη χονδρικής ώστε να ελέγξει εάν η διαφορά αντιστοιχεί στο εγκεκριμένο από την ΕΕΤΤ περιθώριο χονδρικής - λιανικής (βλ. ενότητα Ι,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 Σε περίπτωση που το κόστος χονδρικής δεν απέχει τουλάχιστον όσο το περιθώριο χονδρικής - λιανικής από τα λιανικά έσοδα, προσδιορίζεται το ποσοστό απόκλισης και προσαρμόζονται όλες οι υπολογισμένες από τον κοστολογικό έλεγχο του ΟΤΕ τιμές υπηρεσιών και προϊόντων χονδρικής κατά το συγκεκριμένο ποσοστό. Ειδικότερα, το ποσοστό απόκλισης είναι το ποσοστό που πρέπει να αφαιρεθεί από τις υπολογισμένες από τον κοστολογικό έλεγχο του ΟΤΕ χονδρικές τιμές και προσδιορίζεται ως:</w:t>
      </w:r>
    </w:p>
    <w:p w:rsidR="00F132EA" w:rsidRPr="007629B9" w:rsidRDefault="00F132EA" w:rsidP="00F132EA">
      <w:pPr>
        <w:pStyle w:val="ac"/>
        <w:spacing w:before="120" w:after="120"/>
        <w:ind w:left="1134"/>
        <w:jc w:val="both"/>
        <w:rPr>
          <w:rFonts w:ascii="Arial" w:hAnsi="Arial" w:cs="Arial"/>
          <w:sz w:val="24"/>
          <w:szCs w:val="24"/>
        </w:rPr>
      </w:pPr>
      <w:r w:rsidRPr="007629B9">
        <w:rPr>
          <w:rFonts w:ascii="Cambria Math" w:hAnsi="Cambria Math" w:cs="Arial"/>
          <w:sz w:val="24"/>
          <w:szCs w:val="24"/>
        </w:rPr>
        <w:br/>
      </w:r>
      <m:oMathPara>
        <m:oMath>
          <m:r>
            <w:rPr>
              <w:rFonts w:ascii="Cambria Math" w:hAnsi="Cambria Math" w:cs="Arial"/>
              <w:sz w:val="24"/>
              <w:szCs w:val="24"/>
            </w:rPr>
            <m:t>Ποσοστό απόκλισης=1-</m:t>
          </m:r>
          <m:f>
            <m:fPr>
              <m:ctrlPr>
                <w:rPr>
                  <w:rFonts w:ascii="Cambria Math" w:hAnsi="Cambria Math" w:cs="Arial"/>
                  <w:i/>
                  <w:sz w:val="24"/>
                  <w:szCs w:val="24"/>
                </w:rPr>
              </m:ctrlPr>
            </m:fPr>
            <m:num>
              <m:r>
                <w:rPr>
                  <w:rFonts w:ascii="Cambria Math" w:hAnsi="Cambria Math" w:cs="Arial"/>
                  <w:sz w:val="24"/>
                  <w:szCs w:val="24"/>
                </w:rPr>
                <m:t>Έσοδο λιανικής*(1-περιθώριο λιανικής)</m:t>
              </m:r>
            </m:num>
            <m:den>
              <m:r>
                <w:rPr>
                  <w:rFonts w:ascii="Cambria Math" w:hAnsi="Cambria Math" w:cs="Arial"/>
                  <w:sz w:val="24"/>
                  <w:szCs w:val="24"/>
                </w:rPr>
                <m:t>Κόστος χονδρικής</m:t>
              </m:r>
            </m:den>
          </m:f>
        </m:oMath>
      </m:oMathPara>
    </w:p>
    <w:p w:rsidR="00F132EA" w:rsidRPr="007629B9" w:rsidRDefault="00F132EA" w:rsidP="00F132EA">
      <w:pPr>
        <w:pStyle w:val="ac"/>
        <w:spacing w:before="120" w:after="120"/>
        <w:ind w:left="1134"/>
        <w:jc w:val="both"/>
        <w:rPr>
          <w:rFonts w:ascii="Arial" w:hAnsi="Arial" w:cs="Arial"/>
          <w:sz w:val="24"/>
          <w:szCs w:val="24"/>
        </w:rPr>
      </w:pPr>
    </w:p>
    <w:p w:rsidR="00F132EA" w:rsidRPr="007629B9" w:rsidRDefault="00F132EA" w:rsidP="00F132EA">
      <w:pPr>
        <w:pStyle w:val="ac"/>
        <w:numPr>
          <w:ilvl w:val="0"/>
          <w:numId w:val="15"/>
        </w:numPr>
        <w:spacing w:before="120" w:after="120"/>
        <w:ind w:left="1134" w:hanging="425"/>
        <w:jc w:val="both"/>
        <w:rPr>
          <w:rFonts w:ascii="Arial" w:hAnsi="Arial" w:cs="Arial"/>
          <w:sz w:val="24"/>
          <w:szCs w:val="24"/>
        </w:rPr>
      </w:pPr>
      <w:r w:rsidRPr="007629B9">
        <w:rPr>
          <w:rFonts w:ascii="Arial" w:hAnsi="Arial" w:cs="Arial"/>
          <w:sz w:val="24"/>
          <w:szCs w:val="24"/>
        </w:rPr>
        <w:t xml:space="preserve">Οι προσαρμοσμένες τιμές του κοστολογικού του 2019 ορίζονται ως προσωρινές ανώτατες τιμές χονδρικής μέχρι την ολοκλήρωση του </w:t>
      </w:r>
      <w:proofErr w:type="spellStart"/>
      <w:r w:rsidRPr="007629B9">
        <w:rPr>
          <w:rFonts w:ascii="Arial" w:hAnsi="Arial" w:cs="Arial"/>
          <w:sz w:val="24"/>
          <w:szCs w:val="24"/>
        </w:rPr>
        <w:t>bottom</w:t>
      </w:r>
      <w:proofErr w:type="spellEnd"/>
      <w:r w:rsidRPr="007629B9">
        <w:rPr>
          <w:rFonts w:ascii="Arial" w:hAnsi="Arial" w:cs="Arial"/>
          <w:sz w:val="24"/>
          <w:szCs w:val="24"/>
        </w:rPr>
        <w:t xml:space="preserve"> </w:t>
      </w:r>
      <w:proofErr w:type="spellStart"/>
      <w:r w:rsidRPr="007629B9">
        <w:rPr>
          <w:rFonts w:ascii="Arial" w:hAnsi="Arial" w:cs="Arial"/>
          <w:sz w:val="24"/>
          <w:szCs w:val="24"/>
        </w:rPr>
        <w:t>up</w:t>
      </w:r>
      <w:proofErr w:type="spellEnd"/>
      <w:r w:rsidRPr="007629B9">
        <w:rPr>
          <w:rFonts w:ascii="Arial" w:hAnsi="Arial" w:cs="Arial"/>
          <w:sz w:val="24"/>
          <w:szCs w:val="24"/>
        </w:rPr>
        <w:t xml:space="preserve"> μοντέλου της ΕΕΤΤ. Επειδή:</w:t>
      </w:r>
    </w:p>
    <w:p w:rsidR="00F132EA" w:rsidRPr="007629B9" w:rsidRDefault="00F132EA" w:rsidP="00F132EA">
      <w:pPr>
        <w:pStyle w:val="ac"/>
        <w:spacing w:before="120" w:after="120"/>
        <w:ind w:left="1134"/>
        <w:jc w:val="both"/>
        <w:rPr>
          <w:rFonts w:ascii="Arial" w:hAnsi="Arial" w:cs="Arial"/>
          <w:sz w:val="24"/>
          <w:szCs w:val="24"/>
        </w:rPr>
      </w:pPr>
      <w:r w:rsidRPr="007629B9">
        <w:rPr>
          <w:rFonts w:ascii="Arial" w:hAnsi="Arial" w:cs="Arial"/>
          <w:sz w:val="24"/>
          <w:szCs w:val="24"/>
        </w:rPr>
        <w:t>α) ο κοστολογικός έλεγχος του ΟΤΕ για το έτος 2019, διεξήχθη με βάση τον προηγούμενο ορισμό αγοράς ΜΓ και δεν έχει λάβει υπόψη κυκλώματα VPN-</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w:t>
      </w:r>
    </w:p>
    <w:p w:rsidR="00F132EA" w:rsidRPr="007629B9" w:rsidRDefault="00F132EA" w:rsidP="00F132EA">
      <w:pPr>
        <w:pStyle w:val="ac"/>
        <w:spacing w:before="120" w:after="120"/>
        <w:ind w:left="1134"/>
        <w:jc w:val="both"/>
        <w:rPr>
          <w:rFonts w:ascii="Arial" w:hAnsi="Arial" w:cs="Arial"/>
          <w:sz w:val="24"/>
          <w:szCs w:val="24"/>
        </w:rPr>
      </w:pPr>
      <w:r w:rsidRPr="007629B9">
        <w:rPr>
          <w:rFonts w:ascii="Arial" w:hAnsi="Arial" w:cs="Arial"/>
          <w:sz w:val="24"/>
          <w:szCs w:val="24"/>
        </w:rPr>
        <w:t xml:space="preserve">β) υπάρχουν περιπτώσεις που ο ΟΤΕ παρέχει κυκλώματα ΜΓ στη λιανική σε τιμές χαμηλότερες από τις αντίστοιχες χονδρικές του κοστολογικού 2019 και </w:t>
      </w:r>
    </w:p>
    <w:p w:rsidR="00F132EA" w:rsidRPr="007629B9" w:rsidRDefault="00F132EA" w:rsidP="00F132EA">
      <w:pPr>
        <w:pStyle w:val="ac"/>
        <w:spacing w:before="120" w:after="120"/>
        <w:ind w:left="1134"/>
        <w:jc w:val="both"/>
        <w:rPr>
          <w:rFonts w:ascii="Arial" w:hAnsi="Arial" w:cs="Arial"/>
          <w:sz w:val="24"/>
          <w:szCs w:val="24"/>
        </w:rPr>
      </w:pPr>
      <w:r w:rsidRPr="007629B9">
        <w:rPr>
          <w:rFonts w:ascii="Arial" w:hAnsi="Arial" w:cs="Arial"/>
          <w:sz w:val="24"/>
          <w:szCs w:val="24"/>
        </w:rPr>
        <w:t xml:space="preserve">γ) από την θέση σε ισχύ του τελικού μέτρου για τη ρύθμιση των αγορών ΜΓ η κατώτερη λιανική τιμή του ΟΤΕ δεν μπορεί να είναι χαμηλότερη από την τιμή χονδρικής συν ένα ποσοστό προσαύξησης ίσο με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 xml:space="preserve">, </w:t>
      </w:r>
    </w:p>
    <w:p w:rsidR="00F132EA" w:rsidRPr="007629B9" w:rsidRDefault="00F132EA" w:rsidP="00F132EA">
      <w:pPr>
        <w:spacing w:before="120" w:after="120" w:line="276" w:lineRule="auto"/>
        <w:ind w:left="1134"/>
        <w:jc w:val="both"/>
        <w:rPr>
          <w:rFonts w:ascii="Arial" w:hAnsi="Arial" w:cs="Arial"/>
        </w:rPr>
      </w:pPr>
      <w:r w:rsidRPr="007629B9">
        <w:rPr>
          <w:rFonts w:ascii="Arial" w:hAnsi="Arial" w:cs="Arial"/>
        </w:rPr>
        <w:t xml:space="preserve">η EETT καλεί τον ΟΤΕ να προτείνει ως προσωρινές τιμές ΜΓ χονδρικής μέχρι την ολοκλήρωση του </w:t>
      </w:r>
      <w:proofErr w:type="spellStart"/>
      <w:r w:rsidRPr="007629B9">
        <w:rPr>
          <w:rFonts w:ascii="Arial" w:hAnsi="Arial" w:cs="Arial"/>
        </w:rPr>
        <w:t>bottom-up</w:t>
      </w:r>
      <w:proofErr w:type="spellEnd"/>
      <w:r w:rsidRPr="007629B9">
        <w:rPr>
          <w:rFonts w:ascii="Arial" w:hAnsi="Arial" w:cs="Arial"/>
        </w:rPr>
        <w:t xml:space="preserve"> μοντέλου τιμές ίσες ή μικρότερες από τις προσαρμοσμένες τιμές του κοστολογικού ελέγχου του 2019. Για τον προσδιορισμό τιμών ο ΟΤΕ πρέπει να λάβει υπόψη του ότι ο έλεγχος ανά προσφορά θα γίνεται με βάση το εξής μοντέλο:</w:t>
      </w:r>
    </w:p>
    <w:p w:rsidR="00F132EA" w:rsidRPr="007629B9" w:rsidRDefault="00F132EA" w:rsidP="00F132EA">
      <w:pPr>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rPr>
      </w:pPr>
      <w:r w:rsidRPr="007629B9">
        <w:rPr>
          <w:rFonts w:ascii="Arial" w:hAnsi="Arial" w:cs="Arial"/>
        </w:rPr>
        <w:t xml:space="preserve">Έσοδο κυκλωμάτων λιανικής ανά προσφορά ≥ Κόστος κυκλωμάτων χονδρικής ανά προσφορά * (1+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w:t>
      </w:r>
    </w:p>
    <w:p w:rsidR="00F132EA" w:rsidRPr="007629B9" w:rsidRDefault="00F132EA" w:rsidP="00F132EA">
      <w:pPr>
        <w:pStyle w:val="ac"/>
        <w:numPr>
          <w:ilvl w:val="0"/>
          <w:numId w:val="15"/>
        </w:numPr>
        <w:spacing w:before="120" w:after="120"/>
        <w:ind w:left="1134" w:hanging="425"/>
        <w:jc w:val="both"/>
        <w:rPr>
          <w:rFonts w:ascii="Arial" w:hAnsi="Arial" w:cs="Arial"/>
          <w:sz w:val="24"/>
          <w:szCs w:val="24"/>
        </w:rPr>
      </w:pPr>
      <w:r w:rsidRPr="007629B9">
        <w:rPr>
          <w:rFonts w:ascii="Arial" w:hAnsi="Arial" w:cs="Arial"/>
          <w:sz w:val="24"/>
          <w:szCs w:val="24"/>
        </w:rPr>
        <w:t xml:space="preserve">Οι ανωτέρω τιμές χονδρικής ανά ταχύτητα ισχύουν και για κυκλώματα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μισθωμένων γραμμών τεχνολογίας VDSL που παρέχονται από το αστικό κέντρο. </w:t>
      </w:r>
    </w:p>
    <w:p w:rsidR="00F132EA" w:rsidRPr="007629B9" w:rsidRDefault="00F132EA" w:rsidP="00F132EA">
      <w:pPr>
        <w:spacing w:before="120" w:after="120"/>
        <w:jc w:val="both"/>
        <w:rPr>
          <w:rFonts w:ascii="Arial" w:hAnsi="Arial" w:cs="Arial"/>
        </w:rPr>
      </w:pPr>
    </w:p>
    <w:p w:rsidR="00F132EA" w:rsidRPr="007629B9" w:rsidRDefault="00F132EA" w:rsidP="00F132EA">
      <w:pPr>
        <w:pStyle w:val="ac"/>
        <w:numPr>
          <w:ilvl w:val="0"/>
          <w:numId w:val="14"/>
        </w:numPr>
        <w:spacing w:before="120" w:after="120"/>
        <w:jc w:val="both"/>
        <w:rPr>
          <w:rFonts w:ascii="Arial" w:hAnsi="Arial" w:cs="Arial"/>
          <w:sz w:val="24"/>
          <w:szCs w:val="24"/>
          <w:u w:val="single"/>
        </w:rPr>
      </w:pPr>
      <w:r w:rsidRPr="007629B9">
        <w:rPr>
          <w:rFonts w:ascii="Arial" w:hAnsi="Arial" w:cs="Arial"/>
          <w:sz w:val="24"/>
          <w:szCs w:val="24"/>
          <w:u w:val="single"/>
        </w:rPr>
        <w:t xml:space="preserve">ΨΗΦΙΑΚΑ ΚΥΚΛΩΜΑΤΑ ETHERNET, DIA και IP VPN ΓΙΑ ΤΑ ΟΠΟΙΑ ΔΕΝ ΥΠΑΡΧΟΥΝ ΠΡΟΪΟΝΤΑ ΧΟΝΔΡΙΚΗΣ </w:t>
      </w:r>
    </w:p>
    <w:p w:rsidR="00F132EA" w:rsidRPr="007629B9" w:rsidRDefault="00F132EA" w:rsidP="00F132EA">
      <w:pPr>
        <w:spacing w:before="120" w:after="120" w:line="276" w:lineRule="auto"/>
        <w:jc w:val="both"/>
        <w:rPr>
          <w:rFonts w:ascii="Arial" w:eastAsia="Calibri" w:hAnsi="Arial" w:cs="Arial"/>
          <w:u w:val="single"/>
          <w:lang w:eastAsia="en-US"/>
        </w:rPr>
      </w:pPr>
      <w:r w:rsidRPr="007629B9">
        <w:rPr>
          <w:rFonts w:ascii="Arial" w:hAnsi="Arial" w:cs="Arial"/>
          <w:u w:val="single"/>
        </w:rPr>
        <w:t xml:space="preserve"> </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Ο ΟΤΕ υποβάλει λίστα με τα προϊόντα και τις υπηρεσίες λιανικών μισθωμένων γραμμών για τα οποία δεν υπάρχει αντίστοιχο προϊόν χονδρικής.</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Ο ΟΤΕ υποβάλει αναλυτικές πληροφορίες για τις μεγαλύτερες λιανικές συμβάσεις, οι οποίες συγκεντρωτικά περιέχουν τουλάχιστον το 50% των γραμμών λιανικής, αντίστοιχες με αυτές της περίπτωσης Β.Ι, ανωτέρω</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 xml:space="preserve">Το ποσοστό του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minus</w:t>
      </w:r>
      <w:proofErr w:type="spellEnd"/>
      <w:r w:rsidRPr="007629B9">
        <w:rPr>
          <w:rFonts w:ascii="Arial" w:hAnsi="Arial" w:cs="Arial"/>
          <w:sz w:val="24"/>
          <w:szCs w:val="24"/>
        </w:rPr>
        <w:t xml:space="preserve"> για τον προσδιορισμό των τιμών χονδρικής ορίζεται από την ΕΕΤΤ λαμβάνοντας υπόψη:</w:t>
      </w:r>
    </w:p>
    <w:p w:rsidR="00F132EA" w:rsidRPr="007629B9" w:rsidRDefault="00F132EA" w:rsidP="00F132EA">
      <w:pPr>
        <w:spacing w:before="120" w:after="120" w:line="276" w:lineRule="auto"/>
        <w:ind w:left="1134"/>
        <w:jc w:val="both"/>
        <w:rPr>
          <w:rFonts w:ascii="Arial" w:hAnsi="Arial" w:cs="Arial"/>
        </w:rPr>
      </w:pPr>
      <w:r w:rsidRPr="007629B9">
        <w:rPr>
          <w:rFonts w:ascii="Arial" w:hAnsi="Arial" w:cs="Arial"/>
        </w:rPr>
        <w:t xml:space="preserve">α) τη μέση διαφορά των τιμών χονδρικής των αστικών κυκλωμάτων </w:t>
      </w:r>
      <w:r w:rsidRPr="007629B9">
        <w:rPr>
          <w:rFonts w:ascii="Arial" w:hAnsi="Arial" w:cs="Arial"/>
          <w:lang w:val="en-US"/>
        </w:rPr>
        <w:t>Ethernet</w:t>
      </w:r>
      <w:r w:rsidRPr="007629B9">
        <w:rPr>
          <w:rFonts w:ascii="Arial" w:hAnsi="Arial" w:cs="Arial"/>
        </w:rPr>
        <w:t xml:space="preserve"> με ταχύτητες μικρότερες ή ίσες των 200 </w:t>
      </w:r>
      <w:proofErr w:type="spellStart"/>
      <w:r w:rsidRPr="007629B9">
        <w:rPr>
          <w:rFonts w:ascii="Arial" w:hAnsi="Arial" w:cs="Arial"/>
          <w:lang w:val="en-US"/>
        </w:rPr>
        <w:t>Mbs</w:t>
      </w:r>
      <w:proofErr w:type="spellEnd"/>
      <w:r w:rsidRPr="007629B9">
        <w:rPr>
          <w:rFonts w:ascii="Arial" w:hAnsi="Arial" w:cs="Arial"/>
        </w:rPr>
        <w:t xml:space="preserve"> από τις αντίστοιχες μέσες τιμές λιανικής και </w:t>
      </w:r>
    </w:p>
    <w:p w:rsidR="00F132EA" w:rsidRPr="007629B9" w:rsidRDefault="00F132EA" w:rsidP="00F132EA">
      <w:pPr>
        <w:pStyle w:val="ac"/>
        <w:spacing w:before="120" w:after="120"/>
        <w:ind w:left="1134"/>
        <w:jc w:val="both"/>
        <w:rPr>
          <w:rFonts w:ascii="Arial" w:hAnsi="Arial" w:cs="Arial"/>
          <w:sz w:val="24"/>
          <w:szCs w:val="24"/>
        </w:rPr>
      </w:pPr>
      <w:r w:rsidRPr="007629B9">
        <w:rPr>
          <w:rFonts w:ascii="Arial" w:hAnsi="Arial" w:cs="Arial"/>
          <w:sz w:val="24"/>
          <w:szCs w:val="24"/>
        </w:rPr>
        <w:t xml:space="preserve">β) τη διαφορά των συνολικών εσόδων λιανικής από το κόστος των αντίστοιχων αστικών κυκλωμάτων χονδρικής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με ταχύτητες μικρότερες ή ίσες των 200 </w:t>
      </w:r>
      <w:r w:rsidRPr="007629B9">
        <w:rPr>
          <w:rFonts w:ascii="Arial" w:hAnsi="Arial" w:cs="Arial"/>
          <w:sz w:val="24"/>
          <w:szCs w:val="24"/>
          <w:lang w:val="en-US"/>
        </w:rPr>
        <w:t>Mbps</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 xml:space="preserve">Ο ΟΤΕ υποβάλλει στην ΕΕΤΤΤ προς έγκριση τιμές, σύμφωνα με τα κριτήρια που αυτή ορίζει για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minus</w:t>
      </w:r>
      <w:proofErr w:type="spellEnd"/>
      <w:r w:rsidRPr="007629B9">
        <w:rPr>
          <w:rFonts w:ascii="Arial" w:hAnsi="Arial" w:cs="Arial"/>
          <w:sz w:val="24"/>
          <w:szCs w:val="24"/>
        </w:rPr>
        <w:t xml:space="preserve">, ακολουθώντας την αρχή ότι οι τιμές πρέπει να αυξάνουν όσο αυξάνει η ταχύτητα και το γεγονός ότι κατά τον έλεγχο των προσφορών του η χαμηλότερη αποδεκτή τιμή λιανικής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 xml:space="preserve">Για τις περιπτώσεις όπου δεν μπορούν να προσδιοριστούν μέσες τιμές λιανικής από την ΕΕΤΤ, ο ΟΤΕ υποβάλλει στην ΕΕΤΤΤ προς έγκριση τιμές χονδρικής ακολουθώντας την αρχή ότι οι τιμές πρέπει να αυξάνουν όσο αυξάνει η ταχύτητα και το γεγονός ότι κατά τον έλεγχο των προσφορών του η χαμηλότερη αποδεκτή τιμή λιανικής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 xml:space="preserve">Η παροχή των νέων μισθωμένων γραμμών χονδρικής γίνεται από τον ΟΤΕ με διαδικασίες αντίστοιχες με αυτές που ακολουθεί μέχρι σήμερα για την παροχή μισθωμένων γραμμών χονδρικής. Μέχρι να ενσωματώσει τους νέους τύπους ΜΓ στην προσφορά αναφοράς και στα πληροφοριακά του συστήματα, τα αιτήματα ΜΓ υποβάλλονται και εξυπηρετούνται εκτός πληροφοριακών συστημάτων. Εντός πέντε (5) ημερών από την θέση σε ισχύ της παρούσας, ο ΟΤΕ κοινοποιεί  τις σχετικές διαδικασίες στην ΕΕΤΤ, τις δημοσιεύει στην ιστοσελίδα του και ενημερώνει σχετικά όλους τους </w:t>
      </w:r>
      <w:proofErr w:type="spellStart"/>
      <w:r w:rsidRPr="007629B9">
        <w:rPr>
          <w:rFonts w:ascii="Arial" w:hAnsi="Arial" w:cs="Arial"/>
          <w:sz w:val="24"/>
          <w:szCs w:val="24"/>
        </w:rPr>
        <w:t>παρόχους</w:t>
      </w:r>
      <w:proofErr w:type="spellEnd"/>
      <w:r w:rsidRPr="007629B9">
        <w:rPr>
          <w:rFonts w:ascii="Arial" w:hAnsi="Arial" w:cs="Arial"/>
          <w:sz w:val="24"/>
          <w:szCs w:val="24"/>
        </w:rPr>
        <w:t xml:space="preserve"> με τους οποίους έχει υπογεγραμμένη σύμβαση παροχής μισθωμένων γραμμών χονδρικής.</w:t>
      </w:r>
    </w:p>
    <w:p w:rsidR="00F132EA" w:rsidRPr="007629B9" w:rsidRDefault="00F132EA" w:rsidP="00F132EA">
      <w:pPr>
        <w:pStyle w:val="ac"/>
        <w:numPr>
          <w:ilvl w:val="0"/>
          <w:numId w:val="16"/>
        </w:numPr>
        <w:spacing w:before="120" w:after="120"/>
        <w:ind w:left="1134" w:hanging="425"/>
        <w:jc w:val="both"/>
        <w:rPr>
          <w:rFonts w:ascii="Arial" w:hAnsi="Arial" w:cs="Arial"/>
          <w:sz w:val="24"/>
          <w:szCs w:val="24"/>
        </w:rPr>
      </w:pPr>
      <w:r w:rsidRPr="007629B9">
        <w:rPr>
          <w:rFonts w:ascii="Arial" w:hAnsi="Arial" w:cs="Arial"/>
          <w:sz w:val="24"/>
          <w:szCs w:val="24"/>
        </w:rPr>
        <w:t xml:space="preserve">Για την εξέταση της δυνατότητας ικανοποίησης ενός αιτήματος παροχής μισθωμένης γραμμών χονδρικής υφίσταται χρέωση, η οποία προσδιορίζεται με </w:t>
      </w:r>
      <w:proofErr w:type="spellStart"/>
      <w:r w:rsidRPr="007629B9">
        <w:rPr>
          <w:rFonts w:ascii="Arial" w:hAnsi="Arial" w:cs="Arial"/>
          <w:sz w:val="24"/>
          <w:szCs w:val="24"/>
        </w:rPr>
        <w:t>bottom-up</w:t>
      </w:r>
      <w:proofErr w:type="spellEnd"/>
      <w:r w:rsidRPr="007629B9">
        <w:rPr>
          <w:rFonts w:ascii="Arial" w:hAnsi="Arial" w:cs="Arial"/>
          <w:sz w:val="24"/>
          <w:szCs w:val="24"/>
        </w:rPr>
        <w:t xml:space="preserve"> μοντέλο, μόνο στην περίπτωση  που μετά την εξέταση αιτήματος που μπορεί να ικανοποιηθεί, ο αιτών </w:t>
      </w:r>
      <w:proofErr w:type="spellStart"/>
      <w:r w:rsidRPr="007629B9">
        <w:rPr>
          <w:rFonts w:ascii="Arial" w:hAnsi="Arial" w:cs="Arial"/>
          <w:sz w:val="24"/>
          <w:szCs w:val="24"/>
        </w:rPr>
        <w:t>πάροχος</w:t>
      </w:r>
      <w:proofErr w:type="spellEnd"/>
      <w:r w:rsidRPr="007629B9">
        <w:rPr>
          <w:rFonts w:ascii="Arial" w:hAnsi="Arial" w:cs="Arial"/>
          <w:sz w:val="24"/>
          <w:szCs w:val="24"/>
        </w:rPr>
        <w:t xml:space="preserve"> αποσύρει το αίτημα του ή δεν προχωρήσει στην προμήθεια της εν λόγω υπηρεσίας.</w:t>
      </w:r>
    </w:p>
    <w:p w:rsidR="00F132EA" w:rsidRPr="007629B9" w:rsidRDefault="00F132EA" w:rsidP="00F132EA">
      <w:pPr>
        <w:pStyle w:val="ac"/>
        <w:spacing w:after="160"/>
        <w:jc w:val="both"/>
        <w:rPr>
          <w:rFonts w:ascii="Arial" w:hAnsi="Arial" w:cs="Arial"/>
          <w:sz w:val="24"/>
          <w:szCs w:val="24"/>
        </w:rPr>
      </w:pPr>
    </w:p>
    <w:p w:rsidR="00F132EA" w:rsidRPr="007629B9" w:rsidRDefault="00F00C38" w:rsidP="00744153">
      <w:pPr>
        <w:numPr>
          <w:ilvl w:val="0"/>
          <w:numId w:val="20"/>
        </w:numPr>
        <w:spacing w:before="120" w:after="120" w:line="276" w:lineRule="auto"/>
        <w:jc w:val="both"/>
        <w:rPr>
          <w:rFonts w:ascii="Arial" w:hAnsi="Arial" w:cs="Arial"/>
        </w:rPr>
      </w:pPr>
      <w:r w:rsidRPr="007629B9">
        <w:rPr>
          <w:rFonts w:ascii="Arial" w:hAnsi="Arial" w:cs="Arial"/>
        </w:rPr>
        <w:t>Εφαρμόζοντας την ανωτέρω μεθοδολογία, η ΕΕΤΤ προτείνει την επιβολή στον ΟΤΕ των ακόλουθων</w:t>
      </w:r>
      <w:r w:rsidR="00F132EA" w:rsidRPr="007629B9">
        <w:rPr>
          <w:rFonts w:ascii="Arial" w:hAnsi="Arial" w:cs="Arial"/>
        </w:rPr>
        <w:t>:</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Ορίζει ποσοστό </w:t>
      </w:r>
      <w:r w:rsidRPr="007629B9">
        <w:rPr>
          <w:rFonts w:ascii="Arial" w:hAnsi="Arial" w:cs="Arial"/>
          <w:sz w:val="24"/>
          <w:szCs w:val="24"/>
          <w:lang w:val="en-US"/>
        </w:rPr>
        <w:t>retail</w:t>
      </w:r>
      <w:r w:rsidRPr="007629B9">
        <w:rPr>
          <w:rFonts w:ascii="Arial" w:hAnsi="Arial" w:cs="Arial"/>
          <w:sz w:val="24"/>
          <w:szCs w:val="24"/>
        </w:rPr>
        <w:t xml:space="preserve"> </w:t>
      </w:r>
      <w:r w:rsidRPr="007629B9">
        <w:rPr>
          <w:rFonts w:ascii="Arial" w:hAnsi="Arial" w:cs="Arial"/>
          <w:sz w:val="24"/>
          <w:szCs w:val="24"/>
          <w:lang w:val="en-US"/>
        </w:rPr>
        <w:t>increment</w:t>
      </w:r>
      <w:r w:rsidRPr="007629B9">
        <w:rPr>
          <w:rFonts w:ascii="Arial" w:hAnsi="Arial" w:cs="Arial"/>
          <w:sz w:val="24"/>
          <w:szCs w:val="24"/>
        </w:rPr>
        <w:t xml:space="preserve"> ίσο με </w:t>
      </w:r>
      <w:r w:rsidR="00F00C38" w:rsidRPr="007629B9">
        <w:rPr>
          <w:rFonts w:ascii="Arial" w:hAnsi="Arial" w:cs="Arial"/>
          <w:sz w:val="24"/>
          <w:szCs w:val="24"/>
        </w:rPr>
        <w:t>[…]</w:t>
      </w:r>
      <w:r w:rsidRPr="007629B9">
        <w:rPr>
          <w:rFonts w:ascii="Arial" w:hAnsi="Arial" w:cs="Arial"/>
          <w:sz w:val="24"/>
          <w:szCs w:val="24"/>
        </w:rPr>
        <w:t xml:space="preserve"> βάσει του οποίου θα διεξάγεται ο έλεγχος των λιανικών προσφορών του ΟΤΕ.</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Καλεί τον ΟΤΕ να προτείνει, ως προσωρινές τιμές ΜΓ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μέχρι την ολοκλήρωση του </w:t>
      </w:r>
      <w:proofErr w:type="spellStart"/>
      <w:r w:rsidRPr="007629B9">
        <w:rPr>
          <w:rFonts w:ascii="Arial" w:hAnsi="Arial" w:cs="Arial"/>
          <w:sz w:val="24"/>
          <w:szCs w:val="24"/>
        </w:rPr>
        <w:t>bottom-up</w:t>
      </w:r>
      <w:proofErr w:type="spellEnd"/>
      <w:r w:rsidRPr="007629B9">
        <w:rPr>
          <w:rFonts w:ascii="Arial" w:hAnsi="Arial" w:cs="Arial"/>
          <w:sz w:val="24"/>
          <w:szCs w:val="24"/>
        </w:rPr>
        <w:t xml:space="preserve"> μοντέλου από την ΕΕΤΤ, τιμές μικρότερες ή ίσες από τις τιμές του κοστολογικού ελέγχου του 2019, λαμβάνοντας υπόψη το γεγονός ότι η χαμηλότερη αποδεκτή τιμή λιανικής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 xml:space="preserve"> του </w:t>
      </w:r>
      <w:r w:rsidR="00F00C38" w:rsidRPr="007629B9">
        <w:rPr>
          <w:rFonts w:ascii="Arial" w:hAnsi="Arial" w:cs="Arial"/>
          <w:sz w:val="24"/>
          <w:szCs w:val="24"/>
        </w:rPr>
        <w:t>[…]</w:t>
      </w:r>
      <w:r w:rsidRPr="007629B9">
        <w:rPr>
          <w:rFonts w:ascii="Arial" w:hAnsi="Arial" w:cs="Arial"/>
          <w:sz w:val="24"/>
          <w:szCs w:val="24"/>
        </w:rPr>
        <w:t xml:space="preserve">. Οι ανωτέρω τιμές χονδρικής ισχύουν και για κυκλώματα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μισθωμένων γραμμών τεχνολογίας VDSL που παρέχονται από το αστικό κέντρο.  </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Καλεί τον ΟΤΕ να υποβάλει τιμές χονδρικής αστικών κυκλωμάτων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άνω των 200 </w:t>
      </w:r>
      <w:proofErr w:type="spellStart"/>
      <w:r w:rsidRPr="007629B9">
        <w:rPr>
          <w:rFonts w:ascii="Arial" w:hAnsi="Arial" w:cs="Arial"/>
          <w:sz w:val="24"/>
          <w:szCs w:val="24"/>
        </w:rPr>
        <w:t>Mbps</w:t>
      </w:r>
      <w:proofErr w:type="spellEnd"/>
      <w:r w:rsidRPr="007629B9">
        <w:rPr>
          <w:rFonts w:ascii="Arial" w:hAnsi="Arial" w:cs="Arial"/>
          <w:sz w:val="24"/>
          <w:szCs w:val="24"/>
        </w:rPr>
        <w:t xml:space="preserve"> για όλες τις ταχύτητες τις οποίες επιθυμεί να παρέχει. Οι προτεινόμενες από τον ΟΤΕ τιμές χονδρικής ανά ταχύτητα (για τις ταχύτητες 250,300,400,500,600,1000) ανά άκρο πρέπει να δίνουν μέσο όρο</w:t>
      </w:r>
      <w:r w:rsidR="00F00C38" w:rsidRPr="007629B9">
        <w:rPr>
          <w:rFonts w:ascii="Arial" w:hAnsi="Arial" w:cs="Arial"/>
          <w:sz w:val="24"/>
          <w:szCs w:val="24"/>
        </w:rPr>
        <w:t>, ο οποίος να μην υπερβαίνει τα  […]</w:t>
      </w:r>
      <w:r w:rsidRPr="007629B9">
        <w:rPr>
          <w:rFonts w:ascii="Arial" w:hAnsi="Arial" w:cs="Arial"/>
          <w:sz w:val="24"/>
          <w:szCs w:val="24"/>
        </w:rPr>
        <w:t xml:space="preserve"> ευρώ, δηλαδή τουλάχιστον 46% χαμηλότερος από τον μέσο όρο των αντίστοιχων μέσων τιμών λιανικής ενώ το συνολικό κόστος χονδρικής που θα προκύπτει λαμβάνοντας υπόψη τον αριθμό κυκλωμάτων ανά κατηγορία πρέπει να είναι το πολύ </w:t>
      </w:r>
      <w:r w:rsidR="00F00C38" w:rsidRPr="007629B9">
        <w:rPr>
          <w:rFonts w:ascii="Arial" w:hAnsi="Arial" w:cs="Arial"/>
          <w:sz w:val="24"/>
          <w:szCs w:val="24"/>
        </w:rPr>
        <w:t>[…]</w:t>
      </w:r>
      <w:r w:rsidRPr="007629B9">
        <w:rPr>
          <w:rFonts w:ascii="Arial" w:hAnsi="Arial" w:cs="Arial"/>
          <w:sz w:val="24"/>
          <w:szCs w:val="24"/>
        </w:rPr>
        <w:t xml:space="preserve">, δηλαδή 43% μικρότερο από το αντίστοιχο έσοδο λιανικής το οποίο, λαμβάνοντας την υπόθεση ότι κάθε κύκλωμα έχει  μόνο ένα άκρο, υπολογίστηκε σε </w:t>
      </w:r>
      <w:r w:rsidR="00F00C38" w:rsidRPr="007629B9">
        <w:rPr>
          <w:rFonts w:ascii="Arial" w:hAnsi="Arial" w:cs="Arial"/>
          <w:sz w:val="24"/>
          <w:szCs w:val="24"/>
        </w:rPr>
        <w:t>[…]</w:t>
      </w:r>
      <w:r w:rsidRPr="007629B9">
        <w:rPr>
          <w:rFonts w:ascii="Arial" w:hAnsi="Arial" w:cs="Arial"/>
          <w:sz w:val="24"/>
          <w:szCs w:val="24"/>
        </w:rPr>
        <w:t xml:space="preserve"> ευρώ. </w:t>
      </w:r>
    </w:p>
    <w:p w:rsidR="00F132EA" w:rsidRPr="007629B9" w:rsidRDefault="00F132EA" w:rsidP="00F132EA">
      <w:pPr>
        <w:spacing w:line="276" w:lineRule="auto"/>
        <w:ind w:left="720"/>
        <w:jc w:val="both"/>
        <w:rPr>
          <w:rFonts w:ascii="Arial" w:hAnsi="Arial" w:cs="Arial"/>
        </w:rPr>
      </w:pPr>
      <w:r w:rsidRPr="007629B9">
        <w:rPr>
          <w:rFonts w:ascii="Arial" w:hAnsi="Arial" w:cs="Arial"/>
        </w:rPr>
        <w:t xml:space="preserve">Κατά τον ορισμό των τιμών χονδρικής ο ΟΤΕ πρέπει να λάβει υπόψη τον κανόνα ότι οι τιμές αυξάνουν όσο αυξάνει η ταχύτητα και το γεγονός ότι η χαμηλότερη αποδεκτή τιμή λιανικής του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του </w:t>
      </w:r>
      <w:r w:rsidR="00F00C38" w:rsidRPr="007629B9">
        <w:rPr>
          <w:rFonts w:ascii="Arial" w:hAnsi="Arial" w:cs="Arial"/>
        </w:rPr>
        <w:t>[…]</w:t>
      </w:r>
      <w:r w:rsidRPr="007629B9">
        <w:rPr>
          <w:rFonts w:ascii="Arial" w:hAnsi="Arial" w:cs="Arial"/>
        </w:rPr>
        <w:t>. Οι τιμές χονδρικής πρέπει να διακρίνονται σε μηνιαίο τέλος πρόσβασης και μηνιαίο τέλος κυκλώματος.</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Καλεί τον ΟΤΕ να υποβάλει τιμές χονδρικής υπεραστικών κυκλωμάτων </w:t>
      </w:r>
      <w:proofErr w:type="spellStart"/>
      <w:r w:rsidRPr="007629B9">
        <w:rPr>
          <w:rFonts w:ascii="Arial" w:hAnsi="Arial" w:cs="Arial"/>
          <w:sz w:val="24"/>
          <w:szCs w:val="24"/>
        </w:rPr>
        <w:t>Ethernet</w:t>
      </w:r>
      <w:proofErr w:type="spellEnd"/>
      <w:r w:rsidRPr="007629B9">
        <w:rPr>
          <w:rFonts w:ascii="Arial" w:hAnsi="Arial" w:cs="Arial"/>
          <w:sz w:val="24"/>
          <w:szCs w:val="24"/>
        </w:rPr>
        <w:t xml:space="preserve"> άνω των 200 </w:t>
      </w:r>
      <w:proofErr w:type="spellStart"/>
      <w:r w:rsidRPr="007629B9">
        <w:rPr>
          <w:rFonts w:ascii="Arial" w:hAnsi="Arial" w:cs="Arial"/>
          <w:sz w:val="24"/>
          <w:szCs w:val="24"/>
        </w:rPr>
        <w:t>Mbps</w:t>
      </w:r>
      <w:proofErr w:type="spellEnd"/>
      <w:r w:rsidRPr="007629B9">
        <w:rPr>
          <w:rFonts w:ascii="Arial" w:hAnsi="Arial" w:cs="Arial"/>
          <w:sz w:val="24"/>
          <w:szCs w:val="24"/>
        </w:rPr>
        <w:t xml:space="preserve"> για όλες τις ταχύτητες τις οποίες επιθυμεί να παρέχει ακολουθώντας την αρχή ότι οι τιμές πρέπει να αυξάνουν όσο αυξάνει η ταχύτητα και το γεγονός ότι η χαμηλότερη αποδεκτή τιμή λιανικής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sz w:val="24"/>
          <w:szCs w:val="24"/>
        </w:rPr>
        <w:t>retail</w:t>
      </w:r>
      <w:proofErr w:type="spellEnd"/>
      <w:r w:rsidRPr="007629B9">
        <w:rPr>
          <w:rFonts w:ascii="Arial" w:hAnsi="Arial" w:cs="Arial"/>
          <w:sz w:val="24"/>
          <w:szCs w:val="24"/>
        </w:rPr>
        <w:t xml:space="preserve"> </w:t>
      </w:r>
      <w:proofErr w:type="spellStart"/>
      <w:r w:rsidRPr="007629B9">
        <w:rPr>
          <w:rFonts w:ascii="Arial" w:hAnsi="Arial" w:cs="Arial"/>
          <w:sz w:val="24"/>
          <w:szCs w:val="24"/>
        </w:rPr>
        <w:t>increment</w:t>
      </w:r>
      <w:proofErr w:type="spellEnd"/>
      <w:r w:rsidRPr="007629B9">
        <w:rPr>
          <w:rFonts w:ascii="Arial" w:hAnsi="Arial" w:cs="Arial"/>
          <w:sz w:val="24"/>
          <w:szCs w:val="24"/>
        </w:rPr>
        <w:t xml:space="preserve">. Οι τιμές χονδρικής πρέπει να διακρίνονται σε μηνιαίο τέλος πρόσβασης και μηνιαίο τέλος κυκλώματος. </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Καλεί τον ΟΤΕ να υποβάλει τιμές χονδρικής ασύρματων κυκλωμάτων για όλες  τις ταχύτητες τις οποίες επιθυμεί να παρέχει. Οι προτεινόμενες από τον ΟΤΕ τιμές χονδρικής ανά ταχύτητα (για τις ταχύτητες 1, 2, 4, 6, 8, 10, 15, 20, 25, 30, 40, 50, 60, 70, 80, 90, 100, 120, 150, 200, 250, 300, 400, 500) ανά άκρο ασύρματων κυκλωμάτων πρέπει να δίνουν μέσο όρο</w:t>
      </w:r>
      <w:r w:rsidR="00F00C38" w:rsidRPr="007629B9">
        <w:rPr>
          <w:rFonts w:ascii="Arial" w:hAnsi="Arial" w:cs="Arial"/>
          <w:sz w:val="24"/>
          <w:szCs w:val="24"/>
        </w:rPr>
        <w:t>, ο οποίος να μην υπερβαίνει τα  […]</w:t>
      </w:r>
      <w:r w:rsidRPr="007629B9">
        <w:rPr>
          <w:rFonts w:ascii="Arial" w:hAnsi="Arial" w:cs="Arial"/>
          <w:sz w:val="24"/>
          <w:szCs w:val="24"/>
        </w:rPr>
        <w:t xml:space="preserve"> ευρώ δηλαδή τουλάχιστον 46% χαμηλότερος από τον μέσο όρο των αντίστοιχων μέσων τιμών λιανικής, ενώ το συνολικό κόστος χονδρικής που θα προκύπτει λαμβάνοντας υπόψη τον αριθμό κυκλωμάτων ανά κατηγορία πρέπει να είναι το πολύ </w:t>
      </w:r>
      <w:r w:rsidR="00F00C38" w:rsidRPr="007629B9">
        <w:rPr>
          <w:rFonts w:ascii="Arial" w:hAnsi="Arial" w:cs="Arial"/>
          <w:sz w:val="24"/>
          <w:szCs w:val="24"/>
        </w:rPr>
        <w:t>[…]</w:t>
      </w:r>
      <w:r w:rsidRPr="007629B9">
        <w:rPr>
          <w:rFonts w:ascii="Arial" w:hAnsi="Arial" w:cs="Arial"/>
          <w:sz w:val="24"/>
          <w:szCs w:val="24"/>
        </w:rPr>
        <w:t xml:space="preserve">, δηλαδή 43% μικρότερο από το αντίστοιχο έσοδο λιανικής το οποίο, λαμβάνοντας την υπόθεση ότι κάθε κύκλωμα έχει  μόνο ένα άκρο, υπολογίστηκε σε </w:t>
      </w:r>
      <w:r w:rsidR="00F00C38" w:rsidRPr="007629B9">
        <w:rPr>
          <w:rFonts w:ascii="Arial" w:hAnsi="Arial" w:cs="Arial"/>
          <w:sz w:val="24"/>
          <w:szCs w:val="24"/>
        </w:rPr>
        <w:t>[…]</w:t>
      </w:r>
      <w:r w:rsidRPr="007629B9">
        <w:rPr>
          <w:rFonts w:ascii="Arial" w:hAnsi="Arial" w:cs="Arial"/>
          <w:sz w:val="24"/>
          <w:szCs w:val="24"/>
        </w:rPr>
        <w:t xml:space="preserve"> ευρώ.  </w:t>
      </w:r>
    </w:p>
    <w:p w:rsidR="00F132EA" w:rsidRPr="007629B9" w:rsidRDefault="00F132EA" w:rsidP="00F132EA">
      <w:pPr>
        <w:spacing w:line="276" w:lineRule="auto"/>
        <w:ind w:left="720"/>
        <w:jc w:val="both"/>
        <w:rPr>
          <w:rFonts w:ascii="Arial" w:hAnsi="Arial" w:cs="Arial"/>
        </w:rPr>
      </w:pPr>
      <w:r w:rsidRPr="007629B9">
        <w:rPr>
          <w:rFonts w:ascii="Arial" w:hAnsi="Arial" w:cs="Arial"/>
        </w:rPr>
        <w:t xml:space="preserve">Κατά τον ορισμό των τιμών χονδρικής ο ΟΤΕ πρέπει να λάβει υπόψη τον κανόνα ότι οι τιμές αυξάνουν όσο αυξάνει η ταχύτητα και το γεγονός ότι η χαμηλότερη αποδεκτή τιμή λιανικής του πρέπει να είναι υψηλότερη ή ίση από την προτεινόμενη τιμή χονδρικής αυξημένη κατά ποσοστό ίσο με το </w:t>
      </w:r>
      <w:proofErr w:type="spellStart"/>
      <w:r w:rsidRPr="007629B9">
        <w:rPr>
          <w:rFonts w:ascii="Arial" w:hAnsi="Arial" w:cs="Arial"/>
        </w:rPr>
        <w:t>retail</w:t>
      </w:r>
      <w:proofErr w:type="spellEnd"/>
      <w:r w:rsidRPr="007629B9">
        <w:rPr>
          <w:rFonts w:ascii="Arial" w:hAnsi="Arial" w:cs="Arial"/>
        </w:rPr>
        <w:t xml:space="preserve"> </w:t>
      </w:r>
      <w:proofErr w:type="spellStart"/>
      <w:r w:rsidRPr="007629B9">
        <w:rPr>
          <w:rFonts w:ascii="Arial" w:hAnsi="Arial" w:cs="Arial"/>
        </w:rPr>
        <w:t>increment</w:t>
      </w:r>
      <w:proofErr w:type="spellEnd"/>
      <w:r w:rsidRPr="007629B9">
        <w:rPr>
          <w:rFonts w:ascii="Arial" w:hAnsi="Arial" w:cs="Arial"/>
        </w:rPr>
        <w:t xml:space="preserve">. </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Οι τιμές των αναλογικών κυκλωμάτων χονδρικής, καθώς και των ψηφιακών κυκλωμάτων τεχνολογίας PDH/SDH ορίζονται ίσες με τις τιμές που υπολογίστηκαν  από το μοντέλο </w:t>
      </w:r>
      <w:proofErr w:type="spellStart"/>
      <w:r w:rsidRPr="007629B9">
        <w:rPr>
          <w:rFonts w:ascii="Arial" w:hAnsi="Arial" w:cs="Arial"/>
          <w:sz w:val="24"/>
          <w:szCs w:val="24"/>
        </w:rPr>
        <w:t>top-down</w:t>
      </w:r>
      <w:proofErr w:type="spellEnd"/>
      <w:r w:rsidRPr="007629B9">
        <w:rPr>
          <w:rFonts w:ascii="Arial" w:hAnsi="Arial" w:cs="Arial"/>
          <w:sz w:val="24"/>
          <w:szCs w:val="24"/>
        </w:rPr>
        <w:t xml:space="preserve"> LRIC+ του ΟΤΕ για το έτος 2019.</w:t>
      </w:r>
    </w:p>
    <w:p w:rsidR="00F132EA" w:rsidRPr="007629B9" w:rsidRDefault="00F132EA" w:rsidP="00F132EA">
      <w:pPr>
        <w:pStyle w:val="ac"/>
        <w:numPr>
          <w:ilvl w:val="0"/>
          <w:numId w:val="17"/>
        </w:numPr>
        <w:jc w:val="both"/>
        <w:rPr>
          <w:rFonts w:ascii="Arial" w:hAnsi="Arial" w:cs="Arial"/>
          <w:sz w:val="24"/>
          <w:szCs w:val="24"/>
        </w:rPr>
      </w:pPr>
      <w:r w:rsidRPr="007629B9">
        <w:rPr>
          <w:rFonts w:ascii="Arial" w:hAnsi="Arial" w:cs="Arial"/>
          <w:sz w:val="24"/>
          <w:szCs w:val="24"/>
        </w:rPr>
        <w:t xml:space="preserve">Η παροχή των νέων μισθωμένων γραμμών χονδρικής γίνεται από τον ΟΤΕ με διαδικασίες αντίστοιχες με αυτές που ακολουθεί μέχρι σήμερα για την παροχή μισθωμένων γραμμών χονδρικής. Μέχρι να ενσωματώσει τους νέους τύπους ΜΓ στην προσφορά αναφοράς και στα πληροφοριακά του συστήματα, τα αιτήματα ΜΓ υποβάλλονται και εξυπηρετούνται εκτός πληροφοριακών συστημάτων. Εντός πέντε ημερών από την θέση σε ισχύ της παρούσας, ο ΟΤΕ κοινοποιεί  τις σχετικές διαδικασίες στην ΕΕΤΤ, τις δημοσιεύει στην ιστοσελίδα του και ενημερώνει σχετικά όλους τους </w:t>
      </w:r>
      <w:proofErr w:type="spellStart"/>
      <w:r w:rsidRPr="007629B9">
        <w:rPr>
          <w:rFonts w:ascii="Arial" w:hAnsi="Arial" w:cs="Arial"/>
          <w:sz w:val="24"/>
          <w:szCs w:val="24"/>
        </w:rPr>
        <w:t>παρόχους</w:t>
      </w:r>
      <w:proofErr w:type="spellEnd"/>
      <w:r w:rsidRPr="007629B9">
        <w:rPr>
          <w:rFonts w:ascii="Arial" w:hAnsi="Arial" w:cs="Arial"/>
          <w:sz w:val="24"/>
          <w:szCs w:val="24"/>
        </w:rPr>
        <w:t xml:space="preserve"> με τους οποίους έχει υπογεγραμμένη σύμβαση παροχής μισθωμένων γραμμών χονδρικής.</w:t>
      </w:r>
    </w:p>
    <w:p w:rsidR="00203BEB" w:rsidRPr="007629B9" w:rsidRDefault="00F132EA" w:rsidP="00816DCA">
      <w:pPr>
        <w:pStyle w:val="ac"/>
        <w:numPr>
          <w:ilvl w:val="0"/>
          <w:numId w:val="17"/>
        </w:numPr>
        <w:spacing w:before="120" w:after="120"/>
        <w:jc w:val="both"/>
        <w:rPr>
          <w:rFonts w:ascii="Arial" w:hAnsi="Arial" w:cs="Arial"/>
        </w:rPr>
      </w:pPr>
      <w:r w:rsidRPr="007629B9">
        <w:rPr>
          <w:rFonts w:ascii="Arial" w:hAnsi="Arial" w:cs="Arial"/>
          <w:sz w:val="24"/>
          <w:szCs w:val="24"/>
        </w:rPr>
        <w:t xml:space="preserve">Για την εξέταση της δυνατότητας ικανοποίησης ενός αιτήματος παροχής μισθωμένης γραμμής χονδρικής (μελέτη </w:t>
      </w:r>
      <w:proofErr w:type="spellStart"/>
      <w:r w:rsidRPr="007629B9">
        <w:rPr>
          <w:rFonts w:ascii="Arial" w:hAnsi="Arial" w:cs="Arial"/>
          <w:sz w:val="24"/>
          <w:szCs w:val="24"/>
        </w:rPr>
        <w:t>εφικτότητας</w:t>
      </w:r>
      <w:proofErr w:type="spellEnd"/>
      <w:r w:rsidRPr="007629B9">
        <w:rPr>
          <w:rFonts w:ascii="Arial" w:hAnsi="Arial" w:cs="Arial"/>
          <w:sz w:val="24"/>
          <w:szCs w:val="24"/>
        </w:rPr>
        <w:t xml:space="preserve">) υφίσταται χρέωση, η οποία προσδιορίζεται με </w:t>
      </w:r>
      <w:r w:rsidRPr="007629B9">
        <w:rPr>
          <w:rFonts w:ascii="Arial" w:hAnsi="Arial" w:cs="Arial"/>
          <w:sz w:val="24"/>
          <w:szCs w:val="24"/>
          <w:lang w:val="en-US"/>
        </w:rPr>
        <w:t>bottom</w:t>
      </w:r>
      <w:r w:rsidRPr="007629B9">
        <w:rPr>
          <w:rFonts w:ascii="Arial" w:hAnsi="Arial" w:cs="Arial"/>
          <w:sz w:val="24"/>
          <w:szCs w:val="24"/>
        </w:rPr>
        <w:t>-</w:t>
      </w:r>
      <w:r w:rsidRPr="007629B9">
        <w:rPr>
          <w:rFonts w:ascii="Arial" w:hAnsi="Arial" w:cs="Arial"/>
          <w:sz w:val="24"/>
          <w:szCs w:val="24"/>
          <w:lang w:val="en-US"/>
        </w:rPr>
        <w:t>up</w:t>
      </w:r>
      <w:r w:rsidRPr="007629B9">
        <w:rPr>
          <w:rFonts w:ascii="Arial" w:hAnsi="Arial" w:cs="Arial"/>
          <w:sz w:val="24"/>
          <w:szCs w:val="24"/>
        </w:rPr>
        <w:t xml:space="preserve"> μοντέλο, μόνο στην περίπτωση  που μετά την εξέταση αιτήματος που μπορεί να ικανοποιηθεί, ο αιτών </w:t>
      </w:r>
      <w:proofErr w:type="spellStart"/>
      <w:r w:rsidRPr="007629B9">
        <w:rPr>
          <w:rFonts w:ascii="Arial" w:hAnsi="Arial" w:cs="Arial"/>
          <w:sz w:val="24"/>
          <w:szCs w:val="24"/>
        </w:rPr>
        <w:t>πάροχος</w:t>
      </w:r>
      <w:proofErr w:type="spellEnd"/>
      <w:r w:rsidRPr="007629B9">
        <w:rPr>
          <w:rFonts w:ascii="Arial" w:hAnsi="Arial" w:cs="Arial"/>
          <w:sz w:val="24"/>
          <w:szCs w:val="24"/>
        </w:rPr>
        <w:t xml:space="preserve"> αποσύρει το αίτημα του ή δεν προχωρήσει στην προμήθεια της εν λόγω υπηρεσίας.</w:t>
      </w:r>
    </w:p>
    <w:p w:rsidR="00203BEB" w:rsidRPr="007629B9" w:rsidRDefault="00203BEB">
      <w:pPr>
        <w:rPr>
          <w:rFonts w:ascii="Arial" w:hAnsi="Arial" w:cs="Arial"/>
        </w:rPr>
      </w:pPr>
      <w:r w:rsidRPr="007629B9">
        <w:rPr>
          <w:rFonts w:ascii="Arial" w:hAnsi="Arial" w:cs="Arial"/>
        </w:rPr>
        <w:br w:type="page"/>
      </w:r>
    </w:p>
    <w:p w:rsidR="00203BEB" w:rsidRPr="007629B9" w:rsidRDefault="004B6501" w:rsidP="00203BEB">
      <w:pPr>
        <w:spacing w:before="120" w:after="120" w:line="276" w:lineRule="auto"/>
        <w:ind w:left="495"/>
        <w:jc w:val="both"/>
        <w:rPr>
          <w:rFonts w:ascii="Arial" w:hAnsi="Arial" w:cs="Arial"/>
          <w:b/>
        </w:rPr>
      </w:pPr>
      <w:r w:rsidRPr="007629B9">
        <w:rPr>
          <w:rFonts w:ascii="Arial" w:hAnsi="Arial" w:cs="Arial"/>
          <w:b/>
        </w:rPr>
        <w:t>Β</w:t>
      </w:r>
      <w:r w:rsidR="00203BEB" w:rsidRPr="007629B9">
        <w:rPr>
          <w:rFonts w:ascii="Arial" w:hAnsi="Arial" w:cs="Arial"/>
          <w:b/>
        </w:rPr>
        <w:t xml:space="preserve">. ΜΟΝΤΕΛΟ </w:t>
      </w:r>
      <w:r w:rsidR="00203BEB" w:rsidRPr="007629B9">
        <w:rPr>
          <w:rFonts w:ascii="Arial" w:hAnsi="Arial" w:cs="Arial"/>
          <w:b/>
          <w:lang w:val="en-US"/>
        </w:rPr>
        <w:t>BOTTOM</w:t>
      </w:r>
      <w:r w:rsidR="00203BEB" w:rsidRPr="007629B9">
        <w:rPr>
          <w:rFonts w:ascii="Arial" w:hAnsi="Arial" w:cs="Arial"/>
          <w:b/>
        </w:rPr>
        <w:t>-</w:t>
      </w:r>
      <w:r w:rsidR="00203BEB" w:rsidRPr="007629B9">
        <w:rPr>
          <w:rFonts w:ascii="Arial" w:hAnsi="Arial" w:cs="Arial"/>
          <w:b/>
          <w:lang w:val="en-US"/>
        </w:rPr>
        <w:t>UP</w:t>
      </w:r>
      <w:r w:rsidR="00203BEB" w:rsidRPr="007629B9">
        <w:rPr>
          <w:rFonts w:ascii="Arial" w:hAnsi="Arial" w:cs="Arial"/>
          <w:b/>
        </w:rPr>
        <w:t xml:space="preserve"> ΥΠΟΛΟΓΙΣΜΟΥ </w:t>
      </w:r>
      <w:r w:rsidR="00FE7C79" w:rsidRPr="007629B9">
        <w:rPr>
          <w:rFonts w:ascii="Arial" w:hAnsi="Arial" w:cs="Arial"/>
          <w:b/>
        </w:rPr>
        <w:t xml:space="preserve">ΤΕΛΩΝ ΑΠΟΡΡΙΨΗΣ ΕΚΠΟΝΗΣΗΣ ΤΕΧΝΙΚΗΣ ΠΡΟΜΕΛΕΤΗΣ ΓΙΑ ΚΥΚΛΩΜΑΤΑ ETHERNET ΚΑΙ ΚΥΚΛΩΜΑΤΑ ΑΣΥΡΜΑΤΗΣ ΠΡΟΣΒΑΣΗΣ </w:t>
      </w:r>
    </w:p>
    <w:p w:rsidR="00203BEB" w:rsidRPr="007629B9" w:rsidRDefault="00FE7C79" w:rsidP="00203BEB">
      <w:pPr>
        <w:spacing w:before="120" w:after="120" w:line="276" w:lineRule="auto"/>
        <w:jc w:val="both"/>
        <w:rPr>
          <w:rFonts w:ascii="Arial" w:hAnsi="Arial" w:cs="Arial"/>
        </w:rPr>
      </w:pPr>
      <w:r w:rsidRPr="007629B9">
        <w:rPr>
          <w:rFonts w:ascii="Arial" w:hAnsi="Arial" w:cs="Arial"/>
        </w:rPr>
        <w:t xml:space="preserve">Το προτεινόμενο από τον ΟΤΕ μοντέλο </w:t>
      </w:r>
      <w:r w:rsidRPr="007629B9">
        <w:rPr>
          <w:rFonts w:ascii="Arial" w:hAnsi="Arial" w:cs="Arial"/>
          <w:lang w:val="en-US"/>
        </w:rPr>
        <w:t>bottom</w:t>
      </w:r>
      <w:r w:rsidRPr="007629B9">
        <w:rPr>
          <w:rFonts w:ascii="Arial" w:hAnsi="Arial" w:cs="Arial"/>
        </w:rPr>
        <w:t>-</w:t>
      </w:r>
      <w:r w:rsidRPr="007629B9">
        <w:rPr>
          <w:rFonts w:ascii="Arial" w:hAnsi="Arial" w:cs="Arial"/>
          <w:lang w:val="en-US"/>
        </w:rPr>
        <w:t>up</w:t>
      </w:r>
      <w:r w:rsidRPr="007629B9">
        <w:rPr>
          <w:rFonts w:ascii="Arial" w:hAnsi="Arial" w:cs="Arial"/>
        </w:rPr>
        <w:t xml:space="preserve"> υπολογισμού των τελών απόρριψης εκπόνησης τεχνικής προμελέτης για κυκλώματα </w:t>
      </w:r>
      <w:r w:rsidRPr="007629B9">
        <w:rPr>
          <w:rFonts w:ascii="Arial" w:hAnsi="Arial" w:cs="Arial"/>
          <w:lang w:val="en-US"/>
        </w:rPr>
        <w:t>Ethernet</w:t>
      </w:r>
      <w:r w:rsidRPr="007629B9">
        <w:rPr>
          <w:rFonts w:ascii="Arial" w:hAnsi="Arial" w:cs="Arial"/>
        </w:rPr>
        <w:t xml:space="preserve"> και κυκλώματα ασύρματης πρόσβασης</w:t>
      </w:r>
      <w:r w:rsidR="004D4871" w:rsidRPr="007629B9">
        <w:rPr>
          <w:rFonts w:ascii="Arial" w:hAnsi="Arial" w:cs="Arial"/>
        </w:rPr>
        <w:t xml:space="preserve">, το οποίο επισυνάπτεται και σε μορφή </w:t>
      </w:r>
      <w:r w:rsidR="004D4871" w:rsidRPr="007629B9">
        <w:rPr>
          <w:rFonts w:ascii="Arial" w:hAnsi="Arial" w:cs="Arial"/>
          <w:lang w:val="en-US"/>
        </w:rPr>
        <w:t>MS</w:t>
      </w:r>
      <w:r w:rsidR="004D4871" w:rsidRPr="007629B9">
        <w:rPr>
          <w:rFonts w:ascii="Arial" w:hAnsi="Arial" w:cs="Arial"/>
        </w:rPr>
        <w:t xml:space="preserve"> </w:t>
      </w:r>
      <w:r w:rsidR="004D4871" w:rsidRPr="007629B9">
        <w:rPr>
          <w:rFonts w:ascii="Arial" w:hAnsi="Arial" w:cs="Arial"/>
          <w:lang w:val="en-US"/>
        </w:rPr>
        <w:t>EXCEL</w:t>
      </w:r>
      <w:r w:rsidR="004D4871" w:rsidRPr="007629B9">
        <w:rPr>
          <w:rFonts w:ascii="Arial" w:hAnsi="Arial" w:cs="Arial"/>
        </w:rPr>
        <w:t>,</w:t>
      </w:r>
      <w:r w:rsidRPr="007629B9">
        <w:rPr>
          <w:rFonts w:ascii="Arial" w:hAnsi="Arial" w:cs="Arial"/>
        </w:rPr>
        <w:t xml:space="preserve"> </w:t>
      </w:r>
      <w:r w:rsidR="00AA514D" w:rsidRPr="007629B9">
        <w:rPr>
          <w:rFonts w:ascii="Arial" w:hAnsi="Arial" w:cs="Arial"/>
        </w:rPr>
        <w:t>αποτελείται από τους ακόλουθους πίνακες:</w:t>
      </w:r>
    </w:p>
    <w:p w:rsidR="004D4871" w:rsidRPr="007629B9" w:rsidRDefault="004D4871">
      <w:pPr>
        <w:rPr>
          <w:rFonts w:ascii="Arial" w:hAnsi="Arial" w:cs="Arial"/>
          <w:b/>
          <w:bCs/>
          <w:sz w:val="18"/>
          <w:szCs w:val="18"/>
        </w:rPr>
      </w:pPr>
    </w:p>
    <w:tbl>
      <w:tblPr>
        <w:tblW w:w="8960" w:type="dxa"/>
        <w:tblLook w:val="04A0" w:firstRow="1" w:lastRow="0" w:firstColumn="1" w:lastColumn="0" w:noHBand="0" w:noVBand="1"/>
      </w:tblPr>
      <w:tblGrid>
        <w:gridCol w:w="6020"/>
        <w:gridCol w:w="1700"/>
        <w:gridCol w:w="1240"/>
      </w:tblGrid>
      <w:tr w:rsidR="00C55104" w:rsidRPr="007629B9" w:rsidTr="00C55104">
        <w:trPr>
          <w:trHeight w:val="735"/>
        </w:trPr>
        <w:tc>
          <w:tcPr>
            <w:tcW w:w="8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xml:space="preserve">ΠΙΝΑΚΑΣ ΥΠΟΛΟΓΙΣΜΟΥ ΚΟΣΤΟΥΣ ΤΕΧΝΟΟΙΚΟΝΟΜΙΚΗΣ ΜΕΛΕΤΗΣ ΑΙΤΗΜΑΤΩΝ ETHERNET 2019 </w:t>
            </w:r>
          </w:p>
        </w:tc>
      </w:tr>
      <w:tr w:rsidR="00C55104" w:rsidRPr="007629B9" w:rsidTr="00C55104">
        <w:trPr>
          <w:trHeight w:val="270"/>
        </w:trPr>
        <w:tc>
          <w:tcPr>
            <w:tcW w:w="6020" w:type="dxa"/>
            <w:tcBorders>
              <w:top w:val="nil"/>
              <w:left w:val="nil"/>
              <w:bottom w:val="nil"/>
              <w:right w:val="nil"/>
            </w:tcBorders>
            <w:shd w:val="clear" w:color="000000" w:fill="auto"/>
            <w:noWrap/>
            <w:vAlign w:val="bottom"/>
            <w:hideMark/>
          </w:tcPr>
          <w:p w:rsidR="00C55104" w:rsidRPr="007629B9" w:rsidRDefault="00C55104">
            <w:pPr>
              <w:jc w:val="center"/>
              <w:rPr>
                <w:rFonts w:ascii="Arial" w:hAnsi="Arial" w:cs="Arial"/>
                <w:b/>
                <w:bCs/>
                <w:sz w:val="18"/>
                <w:szCs w:val="18"/>
              </w:rPr>
            </w:pPr>
          </w:p>
        </w:tc>
        <w:tc>
          <w:tcPr>
            <w:tcW w:w="1700"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c>
          <w:tcPr>
            <w:tcW w:w="1240"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r>
      <w:tr w:rsidR="00C55104" w:rsidRPr="007629B9" w:rsidTr="00C55104">
        <w:trPr>
          <w:trHeight w:val="780"/>
        </w:trPr>
        <w:tc>
          <w:tcPr>
            <w:tcW w:w="60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Περιγραφή εργασιών</w:t>
            </w:r>
          </w:p>
        </w:tc>
        <w:tc>
          <w:tcPr>
            <w:tcW w:w="1700" w:type="dxa"/>
            <w:tcBorders>
              <w:top w:val="single" w:sz="8" w:space="0" w:color="auto"/>
              <w:left w:val="nil"/>
              <w:bottom w:val="single" w:sz="8" w:space="0" w:color="auto"/>
              <w:right w:val="single" w:sz="8"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ΧΡΟΝΟΣ ΕΡΓΑΣΙΑΣ (Ώρες)</w:t>
            </w:r>
          </w:p>
        </w:tc>
        <w:tc>
          <w:tcPr>
            <w:tcW w:w="1240" w:type="dxa"/>
            <w:tcBorders>
              <w:top w:val="single" w:sz="8" w:space="0" w:color="auto"/>
              <w:left w:val="nil"/>
              <w:bottom w:val="single" w:sz="8" w:space="0" w:color="auto"/>
              <w:right w:val="single" w:sz="8"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w:t>
            </w:r>
          </w:p>
        </w:tc>
      </w:tr>
      <w:tr w:rsidR="00C55104" w:rsidRPr="007629B9" w:rsidTr="00C55104">
        <w:trPr>
          <w:trHeight w:val="270"/>
        </w:trPr>
        <w:tc>
          <w:tcPr>
            <w:tcW w:w="6020" w:type="dxa"/>
            <w:tcBorders>
              <w:top w:val="nil"/>
              <w:left w:val="single" w:sz="8" w:space="0" w:color="auto"/>
              <w:bottom w:val="single" w:sz="8" w:space="0" w:color="auto"/>
              <w:right w:val="nil"/>
            </w:tcBorders>
            <w:shd w:val="clear" w:color="000000" w:fill="auto"/>
            <w:noWrap/>
            <w:vAlign w:val="bottom"/>
            <w:hideMark/>
          </w:tcPr>
          <w:p w:rsidR="00C55104" w:rsidRPr="007629B9" w:rsidRDefault="00C55104">
            <w:pPr>
              <w:rPr>
                <w:rFonts w:ascii="Arial" w:hAnsi="Arial" w:cs="Arial"/>
                <w:b/>
                <w:bCs/>
                <w:sz w:val="18"/>
                <w:szCs w:val="18"/>
              </w:rPr>
            </w:pPr>
            <w:r w:rsidRPr="007629B9">
              <w:rPr>
                <w:rFonts w:ascii="Arial" w:hAnsi="Arial" w:cs="Arial"/>
                <w:b/>
                <w:bCs/>
                <w:sz w:val="18"/>
                <w:szCs w:val="18"/>
              </w:rPr>
              <w:t>ΕΜΠΟΡΙΚΕΣ ΔΙΑΧΕΙΡΙΣΤΙΚΕΣ   ΕΡΓΑΣΙΕΣ</w:t>
            </w:r>
          </w:p>
        </w:tc>
        <w:tc>
          <w:tcPr>
            <w:tcW w:w="1700" w:type="dxa"/>
            <w:tcBorders>
              <w:top w:val="nil"/>
              <w:left w:val="single" w:sz="8" w:space="0" w:color="auto"/>
              <w:bottom w:val="single" w:sz="8" w:space="0" w:color="auto"/>
              <w:right w:val="single" w:sz="8" w:space="0" w:color="auto"/>
            </w:tcBorders>
            <w:shd w:val="clear" w:color="000000" w:fill="FFFFFF"/>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 </w:t>
            </w:r>
          </w:p>
        </w:tc>
        <w:tc>
          <w:tcPr>
            <w:tcW w:w="1240" w:type="dxa"/>
            <w:tcBorders>
              <w:top w:val="nil"/>
              <w:left w:val="nil"/>
              <w:bottom w:val="single" w:sz="8" w:space="0" w:color="auto"/>
              <w:right w:val="single" w:sz="8" w:space="0" w:color="auto"/>
            </w:tcBorders>
            <w:shd w:val="clear" w:color="000000" w:fill="FFFFFF"/>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 </w:t>
            </w:r>
          </w:p>
        </w:tc>
      </w:tr>
      <w:tr w:rsidR="00C55104" w:rsidRPr="007629B9" w:rsidTr="00C55104">
        <w:trPr>
          <w:trHeight w:val="480"/>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Αποστολή αιτημάτων από Εμπορική Υπηρεσία προς Υπηρεσία </w:t>
            </w:r>
            <w:proofErr w:type="spellStart"/>
            <w:r w:rsidRPr="007629B9">
              <w:rPr>
                <w:rFonts w:ascii="Arial" w:hAnsi="Arial" w:cs="Arial"/>
                <w:color w:val="000000"/>
                <w:sz w:val="18"/>
                <w:szCs w:val="18"/>
              </w:rPr>
              <w:t>Παρόχων</w:t>
            </w:r>
            <w:proofErr w:type="spellEnd"/>
          </w:p>
        </w:tc>
        <w:tc>
          <w:tcPr>
            <w:tcW w:w="1700" w:type="dxa"/>
            <w:vMerge w:val="restart"/>
            <w:tcBorders>
              <w:top w:val="nil"/>
              <w:left w:val="single" w:sz="4" w:space="0" w:color="auto"/>
              <w:bottom w:val="single" w:sz="4" w:space="0" w:color="000000"/>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2</w:t>
            </w:r>
          </w:p>
        </w:tc>
        <w:tc>
          <w:tcPr>
            <w:tcW w:w="1240" w:type="dxa"/>
            <w:vMerge w:val="restart"/>
            <w:tcBorders>
              <w:top w:val="nil"/>
              <w:left w:val="single" w:sz="4" w:space="0" w:color="auto"/>
              <w:bottom w:val="single" w:sz="4" w:space="0" w:color="000000"/>
              <w:right w:val="single" w:sz="8" w:space="0" w:color="auto"/>
            </w:tcBorders>
            <w:shd w:val="clear" w:color="000000" w:fill="auto"/>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C55104">
        <w:trPr>
          <w:trHeight w:val="255"/>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Παρακολούθηση ολοκλήρωσης αιτημάτων στο SDR</w:t>
            </w:r>
          </w:p>
        </w:tc>
        <w:tc>
          <w:tcPr>
            <w:tcW w:w="1700"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240" w:type="dxa"/>
            <w:vMerge/>
            <w:tcBorders>
              <w:top w:val="nil"/>
              <w:left w:val="single" w:sz="4" w:space="0" w:color="auto"/>
              <w:bottom w:val="single" w:sz="4" w:space="0" w:color="000000"/>
              <w:right w:val="single" w:sz="8" w:space="0" w:color="auto"/>
            </w:tcBorders>
            <w:vAlign w:val="center"/>
            <w:hideMark/>
          </w:tcPr>
          <w:p w:rsidR="00C55104" w:rsidRPr="007629B9" w:rsidRDefault="00C55104">
            <w:pPr>
              <w:rPr>
                <w:rFonts w:ascii="Arial" w:hAnsi="Arial" w:cs="Arial"/>
                <w:b/>
                <w:bCs/>
                <w:sz w:val="18"/>
                <w:szCs w:val="18"/>
              </w:rPr>
            </w:pPr>
          </w:p>
        </w:tc>
      </w:tr>
      <w:tr w:rsidR="00C55104" w:rsidRPr="007629B9" w:rsidTr="00C55104">
        <w:trPr>
          <w:trHeight w:val="480"/>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Αναζήτηση επιπλέον πληροφοριών για τις ομάδες της Τεχνολογίας (ελλιπής αίτηση).</w:t>
            </w:r>
          </w:p>
        </w:tc>
        <w:tc>
          <w:tcPr>
            <w:tcW w:w="1700"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240" w:type="dxa"/>
            <w:vMerge/>
            <w:tcBorders>
              <w:top w:val="nil"/>
              <w:left w:val="single" w:sz="4" w:space="0" w:color="auto"/>
              <w:bottom w:val="single" w:sz="4" w:space="0" w:color="000000"/>
              <w:right w:val="single" w:sz="8" w:space="0" w:color="auto"/>
            </w:tcBorders>
            <w:vAlign w:val="center"/>
            <w:hideMark/>
          </w:tcPr>
          <w:p w:rsidR="00C55104" w:rsidRPr="007629B9" w:rsidRDefault="00C55104">
            <w:pPr>
              <w:rPr>
                <w:rFonts w:ascii="Arial" w:hAnsi="Arial" w:cs="Arial"/>
                <w:b/>
                <w:bCs/>
                <w:sz w:val="18"/>
                <w:szCs w:val="18"/>
              </w:rPr>
            </w:pPr>
          </w:p>
        </w:tc>
      </w:tr>
      <w:tr w:rsidR="00C55104" w:rsidRPr="007629B9" w:rsidTr="00C55104">
        <w:trPr>
          <w:trHeight w:val="255"/>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Ενημέρωση εμπορικών για την ολοκλήρωση των αιτημάτων.</w:t>
            </w:r>
          </w:p>
        </w:tc>
        <w:tc>
          <w:tcPr>
            <w:tcW w:w="1700"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240" w:type="dxa"/>
            <w:vMerge/>
            <w:tcBorders>
              <w:top w:val="nil"/>
              <w:left w:val="single" w:sz="4" w:space="0" w:color="auto"/>
              <w:bottom w:val="single" w:sz="4" w:space="0" w:color="000000"/>
              <w:right w:val="single" w:sz="8" w:space="0" w:color="auto"/>
            </w:tcBorders>
            <w:vAlign w:val="center"/>
            <w:hideMark/>
          </w:tcPr>
          <w:p w:rsidR="00C55104" w:rsidRPr="007629B9" w:rsidRDefault="00C55104">
            <w:pPr>
              <w:rPr>
                <w:rFonts w:ascii="Arial" w:hAnsi="Arial" w:cs="Arial"/>
                <w:b/>
                <w:bCs/>
                <w:sz w:val="18"/>
                <w:szCs w:val="18"/>
              </w:rPr>
            </w:pPr>
          </w:p>
        </w:tc>
      </w:tr>
      <w:tr w:rsidR="00C55104" w:rsidRPr="007629B9" w:rsidTr="00C55104">
        <w:trPr>
          <w:trHeight w:val="480"/>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Αποστολή στοιχείων προς την πληροφορική σε περίπτωση συστημικών προβλημάτων.</w:t>
            </w:r>
          </w:p>
        </w:tc>
        <w:tc>
          <w:tcPr>
            <w:tcW w:w="1700"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240" w:type="dxa"/>
            <w:vMerge/>
            <w:tcBorders>
              <w:top w:val="nil"/>
              <w:left w:val="single" w:sz="4" w:space="0" w:color="auto"/>
              <w:bottom w:val="single" w:sz="4" w:space="0" w:color="000000"/>
              <w:right w:val="single" w:sz="8" w:space="0" w:color="auto"/>
            </w:tcBorders>
            <w:vAlign w:val="center"/>
            <w:hideMark/>
          </w:tcPr>
          <w:p w:rsidR="00C55104" w:rsidRPr="007629B9" w:rsidRDefault="00C55104">
            <w:pPr>
              <w:rPr>
                <w:rFonts w:ascii="Arial" w:hAnsi="Arial" w:cs="Arial"/>
                <w:b/>
                <w:bCs/>
                <w:sz w:val="18"/>
                <w:szCs w:val="18"/>
              </w:rPr>
            </w:pPr>
          </w:p>
        </w:tc>
      </w:tr>
      <w:tr w:rsidR="00C55104" w:rsidRPr="007629B9" w:rsidTr="00C55104">
        <w:trPr>
          <w:trHeight w:val="480"/>
        </w:trPr>
        <w:tc>
          <w:tcPr>
            <w:tcW w:w="6020" w:type="dxa"/>
            <w:tcBorders>
              <w:top w:val="nil"/>
              <w:left w:val="single" w:sz="8" w:space="0" w:color="auto"/>
              <w:bottom w:val="single" w:sz="4" w:space="0" w:color="auto"/>
              <w:right w:val="nil"/>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Επικοινωνία Εμπορικών με τον πελάτη για διευκρινήσεις όταν απαιτούνται.</w:t>
            </w:r>
          </w:p>
        </w:tc>
        <w:tc>
          <w:tcPr>
            <w:tcW w:w="1700"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240" w:type="dxa"/>
            <w:vMerge/>
            <w:tcBorders>
              <w:top w:val="nil"/>
              <w:left w:val="single" w:sz="4" w:space="0" w:color="auto"/>
              <w:bottom w:val="single" w:sz="4" w:space="0" w:color="000000"/>
              <w:right w:val="single" w:sz="8" w:space="0" w:color="auto"/>
            </w:tcBorders>
            <w:vAlign w:val="center"/>
            <w:hideMark/>
          </w:tcPr>
          <w:p w:rsidR="00C55104" w:rsidRPr="007629B9" w:rsidRDefault="00C55104">
            <w:pPr>
              <w:rPr>
                <w:rFonts w:ascii="Arial" w:hAnsi="Arial" w:cs="Arial"/>
                <w:b/>
                <w:bCs/>
                <w:sz w:val="18"/>
                <w:szCs w:val="18"/>
              </w:rPr>
            </w:pPr>
          </w:p>
        </w:tc>
      </w:tr>
      <w:tr w:rsidR="00C55104" w:rsidRPr="007629B9" w:rsidTr="00C55104">
        <w:trPr>
          <w:trHeight w:val="255"/>
        </w:trPr>
        <w:tc>
          <w:tcPr>
            <w:tcW w:w="6020" w:type="dxa"/>
            <w:tcBorders>
              <w:top w:val="nil"/>
              <w:left w:val="single" w:sz="8" w:space="0" w:color="auto"/>
              <w:bottom w:val="single" w:sz="4" w:space="0" w:color="auto"/>
              <w:right w:val="nil"/>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Σύνολο Κόστους εργασίας</w:t>
            </w:r>
          </w:p>
        </w:tc>
        <w:tc>
          <w:tcPr>
            <w:tcW w:w="1700" w:type="dxa"/>
            <w:tcBorders>
              <w:top w:val="nil"/>
              <w:left w:val="single" w:sz="4" w:space="0" w:color="auto"/>
              <w:bottom w:val="nil"/>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C55104">
        <w:trPr>
          <w:trHeight w:val="255"/>
        </w:trPr>
        <w:tc>
          <w:tcPr>
            <w:tcW w:w="6020" w:type="dxa"/>
            <w:tcBorders>
              <w:top w:val="nil"/>
              <w:left w:val="single" w:sz="8"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b/>
                <w:bCs/>
                <w:sz w:val="18"/>
                <w:szCs w:val="18"/>
              </w:rPr>
            </w:pPr>
            <w:r w:rsidRPr="007629B9">
              <w:rPr>
                <w:rFonts w:ascii="Arial" w:hAnsi="Arial" w:cs="Arial"/>
                <w:b/>
                <w:bCs/>
                <w:sz w:val="18"/>
                <w:szCs w:val="18"/>
              </w:rPr>
              <w:t xml:space="preserve">TΕΧΝΙΚΕΣ ΕΡΓΑΣΙΕΣ </w:t>
            </w:r>
          </w:p>
        </w:tc>
        <w:tc>
          <w:tcPr>
            <w:tcW w:w="1700"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3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Έλεγχος ύπαρξης υφιστάμενου εξοπλισμού πρόσβασης</w:t>
            </w:r>
          </w:p>
        </w:tc>
        <w:tc>
          <w:tcPr>
            <w:tcW w:w="1700"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3</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3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Έλεγχος ύπαρξης υφιστάμενης Οπτικής Υποδομής πρόσβασης</w:t>
            </w:r>
          </w:p>
        </w:tc>
        <w:tc>
          <w:tcPr>
            <w:tcW w:w="1700"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1,5</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6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Εκπόνηση τεχνοοικονομικής προμελέτης προσβάσεων (μη ύπαρξη υφιστάμενης υποδομής)</w:t>
            </w:r>
          </w:p>
        </w:tc>
        <w:tc>
          <w:tcPr>
            <w:tcW w:w="1700"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5</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9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Έλεγχος επάρκειας πόρων δικτύου κορμού και απαραίτητου εξοπλισμού (εφόσον απαιτείται) για την υλοποίηση της αίτησης</w:t>
            </w:r>
          </w:p>
        </w:tc>
        <w:tc>
          <w:tcPr>
            <w:tcW w:w="1700"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1</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300"/>
        </w:trPr>
        <w:tc>
          <w:tcPr>
            <w:tcW w:w="6020" w:type="dxa"/>
            <w:tcBorders>
              <w:top w:val="nil"/>
              <w:left w:val="single" w:sz="8"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Διαμόρφωση οριστικής μελέτης υλοποίησης </w:t>
            </w:r>
          </w:p>
        </w:tc>
        <w:tc>
          <w:tcPr>
            <w:tcW w:w="1700"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1,5</w:t>
            </w:r>
          </w:p>
        </w:tc>
        <w:tc>
          <w:tcPr>
            <w:tcW w:w="1240"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255"/>
        </w:trPr>
        <w:tc>
          <w:tcPr>
            <w:tcW w:w="6020" w:type="dxa"/>
            <w:tcBorders>
              <w:top w:val="nil"/>
              <w:left w:val="single" w:sz="8" w:space="0" w:color="auto"/>
              <w:bottom w:val="single" w:sz="4" w:space="0" w:color="auto"/>
              <w:right w:val="nil"/>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Σύνολο Κόστους εργασίας</w:t>
            </w:r>
          </w:p>
        </w:tc>
        <w:tc>
          <w:tcPr>
            <w:tcW w:w="1700" w:type="dxa"/>
            <w:tcBorders>
              <w:top w:val="nil"/>
              <w:left w:val="single" w:sz="4" w:space="0" w:color="auto"/>
              <w:bottom w:val="single" w:sz="4" w:space="0" w:color="auto"/>
              <w:right w:val="single" w:sz="4" w:space="0" w:color="auto"/>
            </w:tcBorders>
            <w:shd w:val="clear" w:color="000000" w:fill="D9D9D9"/>
            <w:noWrap/>
            <w:vAlign w:val="bottom"/>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40" w:type="dxa"/>
            <w:tcBorders>
              <w:top w:val="nil"/>
              <w:left w:val="nil"/>
              <w:bottom w:val="single" w:sz="4" w:space="0" w:color="auto"/>
              <w:right w:val="single" w:sz="8" w:space="0" w:color="auto"/>
            </w:tcBorders>
            <w:shd w:val="clear" w:color="000000" w:fill="D9D9D9"/>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C55104">
        <w:trPr>
          <w:trHeight w:val="285"/>
        </w:trPr>
        <w:tc>
          <w:tcPr>
            <w:tcW w:w="6020"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ΛΟΙΠΕΣ ΛΕΙΤΟΥΡΓ. ΔΑΠΑΝΕΣ (επί Δαπ.Μισθοδοσίας</w:t>
            </w:r>
            <w:r w:rsidRPr="007629B9">
              <w:rPr>
                <w:rFonts w:ascii="Arial" w:hAnsi="Arial" w:cs="Arial"/>
                <w:color w:val="000000"/>
                <w:sz w:val="18"/>
                <w:szCs w:val="18"/>
                <w:vertAlign w:val="superscript"/>
              </w:rPr>
              <w:t>5)</w:t>
            </w:r>
          </w:p>
        </w:tc>
        <w:tc>
          <w:tcPr>
            <w:tcW w:w="1700" w:type="dxa"/>
            <w:tcBorders>
              <w:top w:val="nil"/>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40"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255"/>
        </w:trPr>
        <w:tc>
          <w:tcPr>
            <w:tcW w:w="6020"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xml:space="preserve">ΜΕΡΙΚΟ ΣΥΝΟΛΟ ΛΕΙΤΟΥΡΓ.ΔΑΠΑΝΩΝ € </w:t>
            </w:r>
          </w:p>
        </w:tc>
        <w:tc>
          <w:tcPr>
            <w:tcW w:w="1700" w:type="dxa"/>
            <w:tcBorders>
              <w:top w:val="nil"/>
              <w:left w:val="nil"/>
              <w:bottom w:val="single" w:sz="4" w:space="0" w:color="auto"/>
              <w:right w:val="single" w:sz="4" w:space="0" w:color="auto"/>
            </w:tcBorders>
            <w:shd w:val="clear" w:color="000000" w:fill="FFFFFF"/>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w:t>
            </w:r>
          </w:p>
        </w:tc>
        <w:tc>
          <w:tcPr>
            <w:tcW w:w="1240"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C55104">
        <w:trPr>
          <w:trHeight w:val="285"/>
        </w:trPr>
        <w:tc>
          <w:tcPr>
            <w:tcW w:w="6020"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ΚΟΣΤΟΣ ΚΕΦΑΛΑΙΟΥ (% επί Λειτ.Δαπανών</w:t>
            </w:r>
            <w:r w:rsidRPr="007629B9">
              <w:rPr>
                <w:rFonts w:ascii="Arial" w:hAnsi="Arial" w:cs="Arial"/>
                <w:color w:val="000000"/>
                <w:sz w:val="18"/>
                <w:szCs w:val="18"/>
                <w:vertAlign w:val="superscript"/>
              </w:rPr>
              <w:t>6)</w:t>
            </w:r>
          </w:p>
        </w:tc>
        <w:tc>
          <w:tcPr>
            <w:tcW w:w="1700" w:type="dxa"/>
            <w:tcBorders>
              <w:top w:val="nil"/>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40"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C55104">
        <w:trPr>
          <w:trHeight w:val="270"/>
        </w:trPr>
        <w:tc>
          <w:tcPr>
            <w:tcW w:w="6020" w:type="dxa"/>
            <w:tcBorders>
              <w:top w:val="nil"/>
              <w:left w:val="single" w:sz="8" w:space="0" w:color="auto"/>
              <w:bottom w:val="single" w:sz="8"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xml:space="preserve">ΣΥΝΟΛΟ ΚΟΣΤΟΥΣ  € </w:t>
            </w:r>
          </w:p>
        </w:tc>
        <w:tc>
          <w:tcPr>
            <w:tcW w:w="1700" w:type="dxa"/>
            <w:tcBorders>
              <w:top w:val="nil"/>
              <w:left w:val="nil"/>
              <w:bottom w:val="single" w:sz="8"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w:t>
            </w:r>
          </w:p>
        </w:tc>
        <w:tc>
          <w:tcPr>
            <w:tcW w:w="1240" w:type="dxa"/>
            <w:tcBorders>
              <w:top w:val="nil"/>
              <w:left w:val="nil"/>
              <w:bottom w:val="single" w:sz="8" w:space="0" w:color="auto"/>
              <w:right w:val="single" w:sz="8" w:space="0" w:color="auto"/>
            </w:tcBorders>
            <w:shd w:val="clear" w:color="000000" w:fill="C0C0C0"/>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429,75</w:t>
            </w:r>
          </w:p>
        </w:tc>
      </w:tr>
    </w:tbl>
    <w:p w:rsidR="00C55104" w:rsidRPr="007629B9" w:rsidRDefault="00C55104">
      <w:pPr>
        <w:rPr>
          <w:rFonts w:ascii="Arial" w:hAnsi="Arial" w:cs="Arial"/>
          <w:b/>
          <w:bCs/>
          <w:sz w:val="18"/>
          <w:szCs w:val="18"/>
        </w:rPr>
      </w:pPr>
    </w:p>
    <w:p w:rsidR="00C55104" w:rsidRPr="007629B9" w:rsidRDefault="00C55104">
      <w:pPr>
        <w:rPr>
          <w:rFonts w:ascii="Arial" w:hAnsi="Arial" w:cs="Arial"/>
          <w:b/>
          <w:bCs/>
          <w:sz w:val="18"/>
          <w:szCs w:val="18"/>
        </w:rPr>
      </w:pPr>
    </w:p>
    <w:p w:rsidR="008E6D43" w:rsidRPr="007629B9" w:rsidRDefault="008E6D43">
      <w:pPr>
        <w:rPr>
          <w:rFonts w:ascii="Arial" w:hAnsi="Arial" w:cs="Arial"/>
          <w:b/>
          <w:bCs/>
          <w:sz w:val="18"/>
          <w:szCs w:val="18"/>
        </w:rPr>
      </w:pPr>
    </w:p>
    <w:p w:rsidR="008E6D43" w:rsidRPr="007629B9" w:rsidRDefault="008E6D43">
      <w:pPr>
        <w:rPr>
          <w:rFonts w:ascii="Arial" w:hAnsi="Arial" w:cs="Arial"/>
          <w:b/>
          <w:bCs/>
          <w:sz w:val="18"/>
          <w:szCs w:val="18"/>
        </w:rPr>
      </w:pPr>
    </w:p>
    <w:tbl>
      <w:tblPr>
        <w:tblW w:w="10322" w:type="dxa"/>
        <w:tblInd w:w="-436" w:type="dxa"/>
        <w:tblLook w:val="04A0" w:firstRow="1" w:lastRow="0" w:firstColumn="1" w:lastColumn="0" w:noHBand="0" w:noVBand="1"/>
      </w:tblPr>
      <w:tblGrid>
        <w:gridCol w:w="3818"/>
        <w:gridCol w:w="1091"/>
        <w:gridCol w:w="1071"/>
        <w:gridCol w:w="1091"/>
        <w:gridCol w:w="1212"/>
        <w:gridCol w:w="1003"/>
        <w:gridCol w:w="119"/>
        <w:gridCol w:w="917"/>
      </w:tblGrid>
      <w:tr w:rsidR="00C55104" w:rsidRPr="007629B9" w:rsidTr="008E6D43">
        <w:trPr>
          <w:gridAfter w:val="2"/>
          <w:wAfter w:w="1036" w:type="dxa"/>
          <w:trHeight w:val="735"/>
        </w:trPr>
        <w:tc>
          <w:tcPr>
            <w:tcW w:w="9286"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xml:space="preserve">ΠΙΝΑΚΑΣ ΥΠΟΛΟΓΙΣΜΟΥ ΚΟΣΤΟΥΣ ΜΗ ΑΠΟΔΟΧΗΣ ΤΕΧΝΟΟΙΚΟΝΟΜΙΚΗΣ ΜΕΛΕΤΗΣ ΑΣΥΡΜΑΤΗΣ ΠΡΟΣΒΑΣΗΣ ETHERNET (ΕΩΣ 1Gbps) </w:t>
            </w:r>
          </w:p>
        </w:tc>
      </w:tr>
      <w:tr w:rsidR="00C55104" w:rsidRPr="007629B9" w:rsidTr="008E6D43">
        <w:trPr>
          <w:trHeight w:val="270"/>
        </w:trPr>
        <w:tc>
          <w:tcPr>
            <w:tcW w:w="3818" w:type="dxa"/>
            <w:tcBorders>
              <w:top w:val="nil"/>
              <w:left w:val="nil"/>
              <w:bottom w:val="single" w:sz="4" w:space="0" w:color="auto"/>
              <w:right w:val="nil"/>
            </w:tcBorders>
            <w:shd w:val="clear" w:color="000000" w:fill="auto"/>
            <w:noWrap/>
            <w:vAlign w:val="bottom"/>
            <w:hideMark/>
          </w:tcPr>
          <w:p w:rsidR="00C55104" w:rsidRPr="007629B9" w:rsidRDefault="00C55104">
            <w:pPr>
              <w:jc w:val="center"/>
              <w:rPr>
                <w:rFonts w:ascii="Arial" w:hAnsi="Arial" w:cs="Arial"/>
                <w:b/>
                <w:bCs/>
                <w:sz w:val="18"/>
                <w:szCs w:val="18"/>
              </w:rPr>
            </w:pPr>
          </w:p>
        </w:tc>
        <w:tc>
          <w:tcPr>
            <w:tcW w:w="1091" w:type="dxa"/>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c>
          <w:tcPr>
            <w:tcW w:w="1071" w:type="dxa"/>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c>
          <w:tcPr>
            <w:tcW w:w="1091" w:type="dxa"/>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c>
          <w:tcPr>
            <w:tcW w:w="1212" w:type="dxa"/>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c>
          <w:tcPr>
            <w:tcW w:w="1122" w:type="dxa"/>
            <w:gridSpan w:val="2"/>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c>
          <w:tcPr>
            <w:tcW w:w="917" w:type="dxa"/>
            <w:tcBorders>
              <w:top w:val="nil"/>
              <w:left w:val="nil"/>
              <w:bottom w:val="single" w:sz="4" w:space="0" w:color="auto"/>
              <w:right w:val="nil"/>
            </w:tcBorders>
            <w:shd w:val="clear" w:color="000000" w:fill="auto"/>
            <w:noWrap/>
            <w:vAlign w:val="bottom"/>
            <w:hideMark/>
          </w:tcPr>
          <w:p w:rsidR="00C55104" w:rsidRPr="007629B9" w:rsidRDefault="00C55104">
            <w:pPr>
              <w:rPr>
                <w:rFonts w:ascii="Arial" w:hAnsi="Arial" w:cs="Arial"/>
                <w:sz w:val="18"/>
                <w:szCs w:val="18"/>
              </w:rPr>
            </w:pPr>
          </w:p>
        </w:tc>
      </w:tr>
      <w:tr w:rsidR="00C55104" w:rsidRPr="007629B9" w:rsidTr="008E6D43">
        <w:trPr>
          <w:trHeight w:val="720"/>
        </w:trPr>
        <w:tc>
          <w:tcPr>
            <w:tcW w:w="381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Περιγραφή εργασιών</w:t>
            </w:r>
          </w:p>
        </w:tc>
        <w:tc>
          <w:tcPr>
            <w:tcW w:w="1091" w:type="dxa"/>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ΧΡΟΝΟΣ ΕΡΓΑΣΙΑΣ (Ώρες)</w:t>
            </w:r>
          </w:p>
        </w:tc>
        <w:tc>
          <w:tcPr>
            <w:tcW w:w="1071" w:type="dxa"/>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w:t>
            </w:r>
          </w:p>
        </w:tc>
        <w:tc>
          <w:tcPr>
            <w:tcW w:w="1091" w:type="dxa"/>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ΧΡΟΝΟΣ ΕΡΓΑΣΙΑΣ (Ώρες)</w:t>
            </w:r>
          </w:p>
        </w:tc>
        <w:tc>
          <w:tcPr>
            <w:tcW w:w="1212" w:type="dxa"/>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w:t>
            </w:r>
          </w:p>
        </w:tc>
        <w:tc>
          <w:tcPr>
            <w:tcW w:w="1122" w:type="dxa"/>
            <w:gridSpan w:val="2"/>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ΧΡΟΝΟΣ ΕΡΓΑΣΙΑΣ (Ώρες)</w:t>
            </w:r>
          </w:p>
        </w:tc>
        <w:tc>
          <w:tcPr>
            <w:tcW w:w="917" w:type="dxa"/>
            <w:tcBorders>
              <w:top w:val="single" w:sz="4" w:space="0" w:color="auto"/>
              <w:left w:val="nil"/>
              <w:bottom w:val="single" w:sz="4" w:space="0" w:color="auto"/>
              <w:right w:val="single" w:sz="4" w:space="0" w:color="auto"/>
            </w:tcBorders>
            <w:shd w:val="clear" w:color="000000" w:fill="C0C0C0"/>
            <w:vAlign w:val="center"/>
            <w:hideMark/>
          </w:tcPr>
          <w:p w:rsidR="00C55104" w:rsidRPr="007629B9" w:rsidRDefault="00C55104">
            <w:pPr>
              <w:jc w:val="center"/>
              <w:rPr>
                <w:rFonts w:ascii="Arial" w:hAnsi="Arial" w:cs="Arial"/>
                <w:b/>
                <w:bCs/>
                <w:color w:val="0000FF"/>
                <w:sz w:val="18"/>
                <w:szCs w:val="18"/>
              </w:rPr>
            </w:pPr>
            <w:r w:rsidRPr="007629B9">
              <w:rPr>
                <w:rFonts w:ascii="Arial" w:hAnsi="Arial" w:cs="Arial"/>
                <w:b/>
                <w:bCs/>
                <w:color w:val="0000FF"/>
                <w:sz w:val="18"/>
                <w:szCs w:val="18"/>
              </w:rPr>
              <w:t>€</w:t>
            </w:r>
          </w:p>
        </w:tc>
      </w:tr>
      <w:tr w:rsidR="008E6D43" w:rsidRPr="007629B9" w:rsidTr="000712D9">
        <w:trPr>
          <w:trHeight w:val="795"/>
        </w:trPr>
        <w:tc>
          <w:tcPr>
            <w:tcW w:w="381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E6D43" w:rsidRPr="007629B9" w:rsidRDefault="008E6D43">
            <w:pPr>
              <w:rPr>
                <w:rFonts w:ascii="Arial" w:hAnsi="Arial" w:cs="Arial"/>
                <w:b/>
                <w:bCs/>
                <w:sz w:val="18"/>
                <w:szCs w:val="18"/>
              </w:rPr>
            </w:pPr>
            <w:r w:rsidRPr="007629B9">
              <w:rPr>
                <w:rFonts w:ascii="Arial" w:hAnsi="Arial" w:cs="Arial"/>
                <w:b/>
                <w:bCs/>
                <w:sz w:val="18"/>
                <w:szCs w:val="18"/>
              </w:rPr>
              <w:t>ΕΜΠΟΡΙΚΕΣ ΔΙΑΧΕΙΡΙΣΤΙΚΕΣ   ΕΡΓΑΣΙΕΣ</w:t>
            </w:r>
          </w:p>
        </w:tc>
        <w:tc>
          <w:tcPr>
            <w:tcW w:w="2162" w:type="dxa"/>
            <w:gridSpan w:val="2"/>
            <w:tcBorders>
              <w:top w:val="single" w:sz="4" w:space="0" w:color="auto"/>
              <w:left w:val="nil"/>
              <w:bottom w:val="single" w:sz="4" w:space="0" w:color="auto"/>
              <w:right w:val="single" w:sz="4" w:space="0" w:color="auto"/>
            </w:tcBorders>
            <w:shd w:val="clear" w:color="000000" w:fill="FFFFFF"/>
            <w:vAlign w:val="center"/>
            <w:hideMark/>
          </w:tcPr>
          <w:p w:rsidR="008E6D43" w:rsidRPr="007629B9" w:rsidRDefault="008E6D43">
            <w:pPr>
              <w:jc w:val="center"/>
              <w:rPr>
                <w:rFonts w:ascii="Arial" w:hAnsi="Arial" w:cs="Arial"/>
                <w:b/>
                <w:bCs/>
                <w:color w:val="0000FF"/>
                <w:sz w:val="18"/>
                <w:szCs w:val="18"/>
              </w:rPr>
            </w:pPr>
            <w:r w:rsidRPr="007629B9">
              <w:rPr>
                <w:rFonts w:ascii="Arial" w:hAnsi="Arial" w:cs="Arial"/>
                <w:b/>
                <w:bCs/>
                <w:color w:val="0000FF"/>
                <w:sz w:val="18"/>
                <w:szCs w:val="18"/>
              </w:rPr>
              <w:t xml:space="preserve">Ζώνη Α&lt;200km Αθήνα </w:t>
            </w:r>
          </w:p>
        </w:tc>
        <w:tc>
          <w:tcPr>
            <w:tcW w:w="2303" w:type="dxa"/>
            <w:gridSpan w:val="2"/>
            <w:tcBorders>
              <w:top w:val="single" w:sz="4" w:space="0" w:color="auto"/>
              <w:left w:val="nil"/>
              <w:bottom w:val="single" w:sz="4" w:space="0" w:color="auto"/>
              <w:right w:val="single" w:sz="4" w:space="0" w:color="auto"/>
            </w:tcBorders>
            <w:shd w:val="clear" w:color="000000" w:fill="FFFFFF"/>
            <w:vAlign w:val="center"/>
            <w:hideMark/>
          </w:tcPr>
          <w:p w:rsidR="008E6D43" w:rsidRPr="007629B9" w:rsidRDefault="008E6D43">
            <w:pPr>
              <w:jc w:val="center"/>
              <w:rPr>
                <w:rFonts w:ascii="Arial" w:hAnsi="Arial" w:cs="Arial"/>
                <w:b/>
                <w:bCs/>
                <w:color w:val="0000FF"/>
                <w:sz w:val="18"/>
                <w:szCs w:val="18"/>
              </w:rPr>
            </w:pPr>
            <w:r w:rsidRPr="007629B9">
              <w:rPr>
                <w:rFonts w:ascii="Arial" w:hAnsi="Arial" w:cs="Arial"/>
                <w:b/>
                <w:bCs/>
                <w:color w:val="0000FF"/>
                <w:sz w:val="18"/>
                <w:szCs w:val="18"/>
              </w:rPr>
              <w:t>Ζώνη Β Ηπειρωτική Ελλάδα (&gt;200km Αθήνα)</w:t>
            </w:r>
          </w:p>
        </w:tc>
        <w:tc>
          <w:tcPr>
            <w:tcW w:w="2039" w:type="dxa"/>
            <w:gridSpan w:val="3"/>
            <w:tcBorders>
              <w:top w:val="single" w:sz="4" w:space="0" w:color="auto"/>
              <w:left w:val="nil"/>
              <w:bottom w:val="single" w:sz="4" w:space="0" w:color="auto"/>
              <w:right w:val="single" w:sz="4" w:space="0" w:color="auto"/>
            </w:tcBorders>
            <w:shd w:val="clear" w:color="000000" w:fill="FFFFFF"/>
            <w:vAlign w:val="center"/>
            <w:hideMark/>
          </w:tcPr>
          <w:p w:rsidR="008E6D43" w:rsidRPr="007629B9" w:rsidRDefault="008E6D43">
            <w:pPr>
              <w:jc w:val="center"/>
              <w:rPr>
                <w:rFonts w:ascii="Arial" w:hAnsi="Arial" w:cs="Arial"/>
                <w:b/>
                <w:bCs/>
                <w:color w:val="0000FF"/>
                <w:sz w:val="18"/>
                <w:szCs w:val="18"/>
              </w:rPr>
            </w:pPr>
            <w:r w:rsidRPr="007629B9">
              <w:rPr>
                <w:rFonts w:ascii="Arial" w:hAnsi="Arial" w:cs="Arial"/>
                <w:b/>
                <w:bCs/>
                <w:color w:val="0000FF"/>
                <w:sz w:val="18"/>
                <w:szCs w:val="18"/>
              </w:rPr>
              <w:t>Ζώνη Γ</w:t>
            </w:r>
            <w:r w:rsidRPr="007629B9">
              <w:rPr>
                <w:rFonts w:ascii="Arial" w:hAnsi="Arial" w:cs="Arial"/>
                <w:b/>
                <w:bCs/>
                <w:color w:val="0000FF"/>
                <w:sz w:val="18"/>
                <w:szCs w:val="18"/>
              </w:rPr>
              <w:br/>
              <w:t>Νησιωτική Ελλάδα</w:t>
            </w: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Αποστολή αιτημάτων από Εμπορική Υπηρεσία προς Υπηρεσία </w:t>
            </w:r>
            <w:proofErr w:type="spellStart"/>
            <w:r w:rsidRPr="007629B9">
              <w:rPr>
                <w:rFonts w:ascii="Arial" w:hAnsi="Arial" w:cs="Arial"/>
                <w:color w:val="000000"/>
                <w:sz w:val="18"/>
                <w:szCs w:val="18"/>
              </w:rPr>
              <w:t>Παρόχων</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2</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2</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2</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Παρακολούθηση ολοκλήρωσης αιτημάτων στο SDR</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Αναζήτηση επιπλέον πληροφοριών για τις ομάδες της Τεχνολογίας (ελλιπής αίτηση).</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Ενημέρωση εμπορικών για την ολοκλήρωση των αιτημάτων.</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Αποστολή στοιχείων προς την πληροφορική σε περίπτωση συστημικών προβλημάτων.</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Επικοινωνία Εμπορικών με τον πελάτη για διευκρινήσεις όταν απαιτούνται.</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b/>
                <w:bCs/>
                <w:sz w:val="18"/>
                <w:szCs w:val="18"/>
              </w:rPr>
            </w:pPr>
            <w:r w:rsidRPr="007629B9">
              <w:rPr>
                <w:rFonts w:ascii="Arial" w:hAnsi="Arial" w:cs="Arial"/>
                <w:b/>
                <w:bCs/>
                <w:sz w:val="18"/>
                <w:szCs w:val="18"/>
              </w:rPr>
              <w:t xml:space="preserve">TΕΧΝΙΚΕΣ ΔΡΑΣΤΗΡΙΟΤΗΤΕΣ </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104" w:rsidRPr="007629B9" w:rsidRDefault="00C55104">
            <w:pPr>
              <w:rPr>
                <w:rFonts w:ascii="Arial" w:hAnsi="Arial" w:cs="Arial"/>
                <w:color w:val="000000"/>
                <w:sz w:val="18"/>
                <w:szCs w:val="18"/>
              </w:rPr>
            </w:pPr>
            <w:proofErr w:type="spellStart"/>
            <w:r w:rsidRPr="007629B9">
              <w:rPr>
                <w:rFonts w:ascii="Arial" w:hAnsi="Arial" w:cs="Arial"/>
                <w:color w:val="000000"/>
                <w:sz w:val="18"/>
                <w:szCs w:val="18"/>
              </w:rPr>
              <w:t>Kόστος</w:t>
            </w:r>
            <w:proofErr w:type="spellEnd"/>
            <w:r w:rsidRPr="007629B9">
              <w:rPr>
                <w:rFonts w:ascii="Arial" w:hAnsi="Arial" w:cs="Arial"/>
                <w:color w:val="000000"/>
                <w:sz w:val="18"/>
                <w:szCs w:val="18"/>
              </w:rPr>
              <w:t xml:space="preserve"> </w:t>
            </w:r>
            <w:proofErr w:type="spellStart"/>
            <w:r w:rsidRPr="007629B9">
              <w:rPr>
                <w:rFonts w:ascii="Arial" w:hAnsi="Arial" w:cs="Arial"/>
                <w:color w:val="000000"/>
                <w:sz w:val="18"/>
                <w:szCs w:val="18"/>
              </w:rPr>
              <w:t>Ταξιδίoυ</w:t>
            </w:r>
            <w:proofErr w:type="spellEnd"/>
            <w:r w:rsidRPr="007629B9">
              <w:rPr>
                <w:rFonts w:ascii="Arial" w:hAnsi="Arial" w:cs="Arial"/>
                <w:color w:val="000000"/>
                <w:sz w:val="18"/>
                <w:szCs w:val="18"/>
              </w:rPr>
              <w:t xml:space="preserve"> και Διαμονής (</w:t>
            </w:r>
            <w:proofErr w:type="spellStart"/>
            <w:r w:rsidRPr="007629B9">
              <w:rPr>
                <w:rFonts w:ascii="Arial" w:hAnsi="Arial" w:cs="Arial"/>
                <w:color w:val="000000"/>
                <w:sz w:val="18"/>
                <w:szCs w:val="18"/>
              </w:rPr>
              <w:t>Site</w:t>
            </w:r>
            <w:proofErr w:type="spellEnd"/>
            <w:r w:rsidRPr="007629B9">
              <w:rPr>
                <w:rFonts w:ascii="Arial" w:hAnsi="Arial" w:cs="Arial"/>
                <w:color w:val="000000"/>
                <w:sz w:val="18"/>
                <w:szCs w:val="18"/>
              </w:rPr>
              <w:t xml:space="preserve"> </w:t>
            </w:r>
            <w:proofErr w:type="spellStart"/>
            <w:r w:rsidRPr="007629B9">
              <w:rPr>
                <w:rFonts w:ascii="Arial" w:hAnsi="Arial" w:cs="Arial"/>
                <w:color w:val="000000"/>
                <w:sz w:val="18"/>
                <w:szCs w:val="18"/>
              </w:rPr>
              <w:t>Survey</w:t>
            </w:r>
            <w:proofErr w:type="spellEnd"/>
            <w:r w:rsidRPr="007629B9">
              <w:rPr>
                <w:rFonts w:ascii="Arial" w:hAnsi="Arial" w:cs="Arial"/>
                <w:color w:val="000000"/>
                <w:sz w:val="18"/>
                <w:szCs w:val="18"/>
              </w:rPr>
              <w:t>)</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600"/>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proofErr w:type="spellStart"/>
            <w:r w:rsidRPr="007629B9">
              <w:rPr>
                <w:rFonts w:ascii="Arial" w:hAnsi="Arial" w:cs="Arial"/>
                <w:color w:val="000000"/>
                <w:sz w:val="18"/>
                <w:szCs w:val="18"/>
              </w:rPr>
              <w:t>Site</w:t>
            </w:r>
            <w:proofErr w:type="spellEnd"/>
            <w:r w:rsidRPr="007629B9">
              <w:rPr>
                <w:rFonts w:ascii="Arial" w:hAnsi="Arial" w:cs="Arial"/>
                <w:color w:val="000000"/>
                <w:sz w:val="18"/>
                <w:szCs w:val="18"/>
              </w:rPr>
              <w:t xml:space="preserve"> </w:t>
            </w:r>
            <w:proofErr w:type="spellStart"/>
            <w:r w:rsidRPr="007629B9">
              <w:rPr>
                <w:rFonts w:ascii="Arial" w:hAnsi="Arial" w:cs="Arial"/>
                <w:color w:val="000000"/>
                <w:sz w:val="18"/>
                <w:szCs w:val="18"/>
              </w:rPr>
              <w:t>Survey</w:t>
            </w:r>
            <w:proofErr w:type="spellEnd"/>
            <w:r w:rsidRPr="007629B9">
              <w:rPr>
                <w:rFonts w:ascii="Arial" w:hAnsi="Arial" w:cs="Arial"/>
                <w:color w:val="000000"/>
                <w:sz w:val="18"/>
                <w:szCs w:val="18"/>
              </w:rPr>
              <w:t>-Επιτόπια κατόπτευση (περιλαμβάνεται και ο χρόνος μετακίνησης/επιστροφής από τον τόπο του έργου)</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8</w:t>
            </w:r>
          </w:p>
        </w:tc>
        <w:tc>
          <w:tcPr>
            <w:tcW w:w="107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32</w:t>
            </w:r>
          </w:p>
        </w:tc>
        <w:tc>
          <w:tcPr>
            <w:tcW w:w="1212"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32</w:t>
            </w:r>
          </w:p>
        </w:tc>
        <w:tc>
          <w:tcPr>
            <w:tcW w:w="917"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Διαχείριση/αποδόμηση αιτήματος</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5</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5</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5</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600"/>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Εκπόνηση τεχνοοικονομικής προμελέτης προσβάσεων (μη ύπαρξη υφιστάμενης υποδομής)</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600"/>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Έλεγχος επάρκειας πόρων δικτύου κορμού </w:t>
            </w:r>
            <w:proofErr w:type="spellStart"/>
            <w:r w:rsidRPr="007629B9">
              <w:rPr>
                <w:rFonts w:ascii="Arial" w:hAnsi="Arial" w:cs="Arial"/>
                <w:color w:val="000000"/>
                <w:sz w:val="18"/>
                <w:szCs w:val="18"/>
              </w:rPr>
              <w:t>backhaul</w:t>
            </w:r>
            <w:proofErr w:type="spellEnd"/>
            <w:r w:rsidRPr="007629B9">
              <w:rPr>
                <w:rFonts w:ascii="Arial" w:hAnsi="Arial" w:cs="Arial"/>
                <w:color w:val="000000"/>
                <w:sz w:val="18"/>
                <w:szCs w:val="18"/>
              </w:rPr>
              <w:t xml:space="preserve"> και απαραίτητου εξοπλισμού</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30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Απεικόνιση ασύρματης λύσης -</w:t>
            </w:r>
            <w:proofErr w:type="spellStart"/>
            <w:r w:rsidRPr="007629B9">
              <w:rPr>
                <w:rFonts w:ascii="Arial" w:hAnsi="Arial" w:cs="Arial"/>
                <w:color w:val="000000"/>
                <w:sz w:val="18"/>
                <w:szCs w:val="18"/>
              </w:rPr>
              <w:t>Υποδέκτες</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Σύνολο Κόστους εργασίας</w:t>
            </w:r>
          </w:p>
        </w:tc>
        <w:tc>
          <w:tcPr>
            <w:tcW w:w="1091" w:type="dxa"/>
            <w:tcBorders>
              <w:top w:val="single" w:sz="4" w:space="0" w:color="auto"/>
              <w:left w:val="nil"/>
              <w:bottom w:val="single" w:sz="4" w:space="0" w:color="auto"/>
              <w:right w:val="single" w:sz="4" w:space="0" w:color="auto"/>
            </w:tcBorders>
            <w:shd w:val="clear" w:color="000000" w:fill="D9D9D9"/>
            <w:noWrap/>
            <w:vAlign w:val="bottom"/>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D9D9D9"/>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091" w:type="dxa"/>
            <w:tcBorders>
              <w:top w:val="single" w:sz="4" w:space="0" w:color="auto"/>
              <w:left w:val="nil"/>
              <w:bottom w:val="single" w:sz="4" w:space="0" w:color="auto"/>
              <w:right w:val="single" w:sz="4" w:space="0" w:color="auto"/>
            </w:tcBorders>
            <w:shd w:val="clear" w:color="000000" w:fill="D9D9D9"/>
            <w:noWrap/>
            <w:vAlign w:val="bottom"/>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D9D9D9"/>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D9D9D9"/>
            <w:vAlign w:val="center"/>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8E6D43">
        <w:trPr>
          <w:trHeight w:val="285"/>
        </w:trPr>
        <w:tc>
          <w:tcPr>
            <w:tcW w:w="3818" w:type="dxa"/>
            <w:tcBorders>
              <w:top w:val="single" w:sz="4" w:space="0" w:color="auto"/>
              <w:left w:val="single" w:sz="4"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ΛΟΙΠΕΣ ΛΕΙΤΟΥΡΓ. ΔΑΠΑΝΕΣ (επί Δαπ.Μισθοδοσίας</w:t>
            </w:r>
            <w:r w:rsidRPr="007629B9">
              <w:rPr>
                <w:rFonts w:ascii="Arial" w:hAnsi="Arial" w:cs="Arial"/>
                <w:color w:val="000000"/>
                <w:sz w:val="18"/>
                <w:szCs w:val="18"/>
                <w:vertAlign w:val="superscript"/>
              </w:rPr>
              <w:t>5)</w:t>
            </w:r>
          </w:p>
        </w:tc>
        <w:tc>
          <w:tcPr>
            <w:tcW w:w="1091" w:type="dxa"/>
            <w:tcBorders>
              <w:top w:val="single" w:sz="4" w:space="0" w:color="auto"/>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55"/>
        </w:trPr>
        <w:tc>
          <w:tcPr>
            <w:tcW w:w="3818" w:type="dxa"/>
            <w:tcBorders>
              <w:top w:val="single" w:sz="4" w:space="0" w:color="auto"/>
              <w:left w:val="single" w:sz="4" w:space="0" w:color="auto"/>
              <w:bottom w:val="single" w:sz="4" w:space="0" w:color="auto"/>
              <w:right w:val="single" w:sz="4" w:space="0" w:color="auto"/>
            </w:tcBorders>
            <w:shd w:val="clear" w:color="000000" w:fill="auto"/>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xml:space="preserve">ΜΕΡΙΚΟ ΣΥΝΟΛΟ ΛΕΙΤΟΥΡΓ.ΔΑΠΑΝΩΝ € </w:t>
            </w:r>
          </w:p>
        </w:tc>
        <w:tc>
          <w:tcPr>
            <w:tcW w:w="1091" w:type="dxa"/>
            <w:tcBorders>
              <w:top w:val="single" w:sz="4" w:space="0" w:color="auto"/>
              <w:left w:val="nil"/>
              <w:bottom w:val="single" w:sz="4" w:space="0" w:color="auto"/>
              <w:right w:val="single" w:sz="4" w:space="0" w:color="auto"/>
            </w:tcBorders>
            <w:shd w:val="clear" w:color="000000" w:fill="FFFFFF"/>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8E6D43">
        <w:trPr>
          <w:trHeight w:val="285"/>
        </w:trPr>
        <w:tc>
          <w:tcPr>
            <w:tcW w:w="3818" w:type="dxa"/>
            <w:tcBorders>
              <w:top w:val="single" w:sz="4" w:space="0" w:color="auto"/>
              <w:left w:val="single" w:sz="4"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ΚΟΣΤΟΣ ΚΕΦΑΛΑΙΟΥ (% επί Λειτ.Δαπανών</w:t>
            </w:r>
            <w:r w:rsidRPr="007629B9">
              <w:rPr>
                <w:rFonts w:ascii="Arial" w:hAnsi="Arial" w:cs="Arial"/>
                <w:color w:val="000000"/>
                <w:sz w:val="18"/>
                <w:szCs w:val="18"/>
                <w:vertAlign w:val="superscript"/>
              </w:rPr>
              <w:t>6)</w:t>
            </w:r>
          </w:p>
        </w:tc>
        <w:tc>
          <w:tcPr>
            <w:tcW w:w="1091" w:type="dxa"/>
            <w:tcBorders>
              <w:top w:val="single" w:sz="4" w:space="0" w:color="auto"/>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104" w:rsidRPr="007629B9" w:rsidRDefault="00C55104">
            <w:pPr>
              <w:rPr>
                <w:rFonts w:ascii="Arial" w:hAnsi="Arial" w:cs="Arial"/>
                <w:b/>
                <w:bCs/>
                <w:color w:val="000000"/>
                <w:sz w:val="18"/>
                <w:szCs w:val="18"/>
              </w:rPr>
            </w:pPr>
            <w:proofErr w:type="spellStart"/>
            <w:r w:rsidRPr="007629B9">
              <w:rPr>
                <w:rFonts w:ascii="Arial" w:hAnsi="Arial" w:cs="Arial"/>
                <w:b/>
                <w:bCs/>
                <w:color w:val="000000"/>
                <w:sz w:val="18"/>
                <w:szCs w:val="18"/>
              </w:rPr>
              <w:t>Kόστος</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Ταξιδίoυ</w:t>
            </w:r>
            <w:proofErr w:type="spellEnd"/>
            <w:r w:rsidRPr="007629B9">
              <w:rPr>
                <w:rFonts w:ascii="Arial" w:hAnsi="Arial" w:cs="Arial"/>
                <w:b/>
                <w:bCs/>
                <w:color w:val="000000"/>
                <w:sz w:val="18"/>
                <w:szCs w:val="18"/>
              </w:rPr>
              <w:t xml:space="preserve"> και Διαμονής </w:t>
            </w:r>
          </w:p>
        </w:tc>
        <w:tc>
          <w:tcPr>
            <w:tcW w:w="1091" w:type="dxa"/>
            <w:tcBorders>
              <w:top w:val="single" w:sz="4" w:space="0" w:color="auto"/>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30"/>
        </w:trPr>
        <w:tc>
          <w:tcPr>
            <w:tcW w:w="3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xml:space="preserve">Μεταφορικό κόστος (μέση τιμή αεροπορικού εισιτηρίου) </w:t>
            </w:r>
            <w:r w:rsidRPr="007629B9">
              <w:rPr>
                <w:rFonts w:ascii="Arial" w:hAnsi="Arial" w:cs="Arial"/>
                <w:sz w:val="18"/>
                <w:szCs w:val="18"/>
                <w:vertAlign w:val="superscript"/>
              </w:rPr>
              <w:t xml:space="preserve">2 </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30"/>
        </w:trPr>
        <w:tc>
          <w:tcPr>
            <w:tcW w:w="381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xml:space="preserve">Κόστος διαμονής </w:t>
            </w:r>
            <w:r w:rsidRPr="007629B9">
              <w:rPr>
                <w:rFonts w:ascii="Arial" w:hAnsi="Arial" w:cs="Arial"/>
                <w:sz w:val="18"/>
                <w:szCs w:val="18"/>
                <w:vertAlign w:val="superscript"/>
              </w:rPr>
              <w:t>3</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30"/>
        </w:trPr>
        <w:tc>
          <w:tcPr>
            <w:tcW w:w="381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Λοιπά κόστη ταξιδιού (διατροφή)</w:t>
            </w:r>
            <w:r w:rsidRPr="007629B9">
              <w:rPr>
                <w:rFonts w:ascii="Arial" w:hAnsi="Arial" w:cs="Arial"/>
                <w:sz w:val="18"/>
                <w:szCs w:val="18"/>
                <w:vertAlign w:val="superscript"/>
              </w:rPr>
              <w:t xml:space="preserve">  3</w:t>
            </w:r>
          </w:p>
        </w:tc>
        <w:tc>
          <w:tcPr>
            <w:tcW w:w="1091" w:type="dxa"/>
            <w:tcBorders>
              <w:top w:val="single" w:sz="4" w:space="0" w:color="auto"/>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 xml:space="preserve">Συνολικό </w:t>
            </w:r>
            <w:proofErr w:type="spellStart"/>
            <w:r w:rsidRPr="007629B9">
              <w:rPr>
                <w:rFonts w:ascii="Arial" w:hAnsi="Arial" w:cs="Arial"/>
                <w:b/>
                <w:bCs/>
                <w:color w:val="000000"/>
                <w:sz w:val="18"/>
                <w:szCs w:val="18"/>
              </w:rPr>
              <w:t>Kόστος</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Ταξιδίoυ</w:t>
            </w:r>
            <w:proofErr w:type="spellEnd"/>
            <w:r w:rsidRPr="007629B9">
              <w:rPr>
                <w:rFonts w:ascii="Arial" w:hAnsi="Arial" w:cs="Arial"/>
                <w:b/>
                <w:bCs/>
                <w:color w:val="000000"/>
                <w:sz w:val="18"/>
                <w:szCs w:val="18"/>
              </w:rPr>
              <w:t xml:space="preserve"> και Διαμονής (</w:t>
            </w:r>
            <w:proofErr w:type="spellStart"/>
            <w:r w:rsidRPr="007629B9">
              <w:rPr>
                <w:rFonts w:ascii="Arial" w:hAnsi="Arial" w:cs="Arial"/>
                <w:b/>
                <w:bCs/>
                <w:color w:val="000000"/>
                <w:sz w:val="18"/>
                <w:szCs w:val="18"/>
              </w:rPr>
              <w:t>Site</w:t>
            </w:r>
            <w:proofErr w:type="spellEnd"/>
            <w:r w:rsidRPr="007629B9">
              <w:rPr>
                <w:rFonts w:ascii="Arial" w:hAnsi="Arial" w:cs="Arial"/>
                <w:b/>
                <w:bCs/>
                <w:color w:val="000000"/>
                <w:sz w:val="18"/>
                <w:szCs w:val="18"/>
              </w:rPr>
              <w:t xml:space="preserve"> </w:t>
            </w:r>
            <w:proofErr w:type="spellStart"/>
            <w:r w:rsidRPr="007629B9">
              <w:rPr>
                <w:rFonts w:ascii="Arial" w:hAnsi="Arial" w:cs="Arial"/>
                <w:b/>
                <w:bCs/>
                <w:color w:val="000000"/>
                <w:sz w:val="18"/>
                <w:szCs w:val="18"/>
              </w:rPr>
              <w:t>Survey</w:t>
            </w:r>
            <w:proofErr w:type="spellEnd"/>
            <w:r w:rsidRPr="007629B9">
              <w:rPr>
                <w:rFonts w:ascii="Arial" w:hAnsi="Arial" w:cs="Arial"/>
                <w:b/>
                <w:bCs/>
                <w:color w:val="000000"/>
                <w:sz w:val="18"/>
                <w:szCs w:val="18"/>
              </w:rPr>
              <w:t>)</w:t>
            </w:r>
          </w:p>
        </w:tc>
        <w:tc>
          <w:tcPr>
            <w:tcW w:w="1091" w:type="dxa"/>
            <w:tcBorders>
              <w:top w:val="single" w:sz="4" w:space="0" w:color="auto"/>
              <w:left w:val="nil"/>
              <w:bottom w:val="single" w:sz="4" w:space="0" w:color="auto"/>
              <w:right w:val="nil"/>
            </w:tcBorders>
            <w:shd w:val="clear" w:color="000000" w:fill="auto"/>
            <w:noWrap/>
            <w:vAlign w:val="bottom"/>
            <w:hideMark/>
          </w:tcPr>
          <w:p w:rsidR="00C55104" w:rsidRPr="007629B9" w:rsidRDefault="00C55104">
            <w:pPr>
              <w:rPr>
                <w:rFonts w:ascii="Arial" w:hAnsi="Arial" w:cs="Arial"/>
                <w:b/>
                <w:bCs/>
                <w:color w:val="000000"/>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b/>
                <w:bCs/>
                <w:sz w:val="18"/>
                <w:szCs w:val="18"/>
              </w:rPr>
            </w:pPr>
            <w:r w:rsidRPr="007629B9">
              <w:rPr>
                <w:rFonts w:ascii="Arial" w:hAnsi="Arial" w:cs="Arial"/>
                <w:b/>
                <w:bCs/>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b/>
                <w:bCs/>
                <w:sz w:val="18"/>
                <w:szCs w:val="18"/>
              </w:rPr>
            </w:pPr>
            <w:r w:rsidRPr="007629B9">
              <w:rPr>
                <w:rFonts w:ascii="Arial" w:hAnsi="Arial" w:cs="Arial"/>
                <w:b/>
                <w:bCs/>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8E6D43">
        <w:trPr>
          <w:trHeight w:val="285"/>
        </w:trPr>
        <w:tc>
          <w:tcPr>
            <w:tcW w:w="381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proofErr w:type="spellStart"/>
            <w:r w:rsidRPr="007629B9">
              <w:rPr>
                <w:rFonts w:ascii="Arial" w:hAnsi="Arial" w:cs="Arial"/>
                <w:sz w:val="18"/>
                <w:szCs w:val="18"/>
              </w:rPr>
              <w:t>Συντελεστης</w:t>
            </w:r>
            <w:proofErr w:type="spellEnd"/>
            <w:r w:rsidRPr="007629B9">
              <w:rPr>
                <w:rFonts w:ascii="Arial" w:hAnsi="Arial" w:cs="Arial"/>
                <w:sz w:val="18"/>
                <w:szCs w:val="18"/>
              </w:rPr>
              <w:t xml:space="preserve"> Ταυτοχρονισμού </w:t>
            </w:r>
            <w:proofErr w:type="spellStart"/>
            <w:r w:rsidRPr="007629B9">
              <w:rPr>
                <w:rFonts w:ascii="Arial" w:hAnsi="Arial" w:cs="Arial"/>
                <w:sz w:val="18"/>
                <w:szCs w:val="18"/>
              </w:rPr>
              <w:t>Εργασιων</w:t>
            </w:r>
            <w:proofErr w:type="spellEnd"/>
            <w:r w:rsidRPr="007629B9">
              <w:rPr>
                <w:rFonts w:ascii="Arial" w:hAnsi="Arial" w:cs="Arial"/>
                <w:sz w:val="18"/>
                <w:szCs w:val="18"/>
              </w:rPr>
              <w:t xml:space="preserve"> &amp; Μετακίνησης (</w:t>
            </w:r>
            <w:proofErr w:type="spellStart"/>
            <w:r w:rsidRPr="007629B9">
              <w:rPr>
                <w:rFonts w:ascii="Arial" w:hAnsi="Arial" w:cs="Arial"/>
                <w:sz w:val="18"/>
                <w:szCs w:val="18"/>
              </w:rPr>
              <w:t>Site</w:t>
            </w:r>
            <w:proofErr w:type="spellEnd"/>
            <w:r w:rsidRPr="007629B9">
              <w:rPr>
                <w:rFonts w:ascii="Arial" w:hAnsi="Arial" w:cs="Arial"/>
                <w:sz w:val="18"/>
                <w:szCs w:val="18"/>
              </w:rPr>
              <w:t xml:space="preserve"> </w:t>
            </w:r>
            <w:proofErr w:type="spellStart"/>
            <w:r w:rsidRPr="007629B9">
              <w:rPr>
                <w:rFonts w:ascii="Arial" w:hAnsi="Arial" w:cs="Arial"/>
                <w:sz w:val="18"/>
                <w:szCs w:val="18"/>
              </w:rPr>
              <w:t>Survey</w:t>
            </w:r>
            <w:proofErr w:type="spellEnd"/>
            <w:r w:rsidRPr="007629B9">
              <w:rPr>
                <w:rFonts w:ascii="Arial" w:hAnsi="Arial" w:cs="Arial"/>
                <w:sz w:val="18"/>
                <w:szCs w:val="18"/>
              </w:rPr>
              <w:t>)</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7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70"/>
        </w:trPr>
        <w:tc>
          <w:tcPr>
            <w:tcW w:w="3818" w:type="dxa"/>
            <w:tcBorders>
              <w:top w:val="single" w:sz="4" w:space="0" w:color="auto"/>
              <w:left w:val="single" w:sz="4" w:space="0" w:color="auto"/>
              <w:bottom w:val="single" w:sz="4"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xml:space="preserve">ΣΥΝΟΛΟ ΚΟΣΤΟΥΣ  € </w:t>
            </w:r>
          </w:p>
        </w:tc>
        <w:tc>
          <w:tcPr>
            <w:tcW w:w="1091" w:type="dxa"/>
            <w:tcBorders>
              <w:top w:val="single" w:sz="4" w:space="0" w:color="auto"/>
              <w:left w:val="nil"/>
              <w:bottom w:val="single" w:sz="4"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w:t>
            </w:r>
          </w:p>
        </w:tc>
        <w:tc>
          <w:tcPr>
            <w:tcW w:w="1071" w:type="dxa"/>
            <w:tcBorders>
              <w:top w:val="single" w:sz="4" w:space="0" w:color="auto"/>
              <w:left w:val="nil"/>
              <w:bottom w:val="single" w:sz="4" w:space="0" w:color="auto"/>
              <w:right w:val="single" w:sz="4" w:space="0" w:color="auto"/>
            </w:tcBorders>
            <w:shd w:val="clear" w:color="000000" w:fill="C0C0C0"/>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461,60</w:t>
            </w:r>
          </w:p>
        </w:tc>
        <w:tc>
          <w:tcPr>
            <w:tcW w:w="1091" w:type="dxa"/>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212" w:type="dxa"/>
            <w:tcBorders>
              <w:top w:val="single" w:sz="4" w:space="0" w:color="auto"/>
              <w:left w:val="nil"/>
              <w:bottom w:val="single" w:sz="4" w:space="0" w:color="auto"/>
              <w:right w:val="single" w:sz="4" w:space="0" w:color="auto"/>
            </w:tcBorders>
            <w:shd w:val="clear" w:color="000000" w:fill="C0C0C0"/>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1.309,27</w:t>
            </w:r>
          </w:p>
        </w:tc>
        <w:tc>
          <w:tcPr>
            <w:tcW w:w="1122"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917" w:type="dxa"/>
            <w:tcBorders>
              <w:top w:val="single" w:sz="4" w:space="0" w:color="auto"/>
              <w:left w:val="nil"/>
              <w:bottom w:val="single" w:sz="4" w:space="0" w:color="auto"/>
              <w:right w:val="single" w:sz="4" w:space="0" w:color="auto"/>
            </w:tcBorders>
            <w:shd w:val="clear" w:color="000000" w:fill="C0C0C0"/>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1.354,68</w:t>
            </w:r>
          </w:p>
        </w:tc>
      </w:tr>
    </w:tbl>
    <w:p w:rsidR="00C55104" w:rsidRPr="007629B9" w:rsidRDefault="00C55104">
      <w:pPr>
        <w:rPr>
          <w:rFonts w:ascii="Arial" w:hAnsi="Arial" w:cs="Arial"/>
          <w:b/>
          <w:bCs/>
          <w:sz w:val="18"/>
          <w:szCs w:val="18"/>
        </w:rPr>
      </w:pPr>
    </w:p>
    <w:p w:rsidR="00C55104" w:rsidRPr="007629B9" w:rsidRDefault="00C55104">
      <w:pPr>
        <w:rPr>
          <w:rFonts w:ascii="Arial" w:hAnsi="Arial" w:cs="Arial"/>
          <w:b/>
          <w:bCs/>
          <w:sz w:val="18"/>
          <w:szCs w:val="18"/>
        </w:rPr>
      </w:pPr>
    </w:p>
    <w:p w:rsidR="00C55104" w:rsidRPr="007629B9" w:rsidRDefault="00C55104" w:rsidP="00C55104">
      <w:pPr>
        <w:rPr>
          <w:rFonts w:ascii="Arial" w:hAnsi="Arial" w:cs="Arial"/>
          <w:bCs/>
          <w:sz w:val="18"/>
          <w:szCs w:val="18"/>
        </w:rPr>
      </w:pPr>
      <w:r w:rsidRPr="007629B9">
        <w:rPr>
          <w:rFonts w:ascii="Arial" w:hAnsi="Arial" w:cs="Arial"/>
          <w:bCs/>
          <w:sz w:val="18"/>
          <w:szCs w:val="18"/>
        </w:rPr>
        <w:t xml:space="preserve">Σημειώσεις: </w:t>
      </w:r>
      <w:r w:rsidRPr="007629B9">
        <w:rPr>
          <w:rFonts w:ascii="Arial" w:hAnsi="Arial" w:cs="Arial"/>
          <w:bCs/>
          <w:sz w:val="18"/>
          <w:szCs w:val="18"/>
        </w:rPr>
        <w:tab/>
      </w:r>
    </w:p>
    <w:p w:rsidR="00C55104" w:rsidRPr="007629B9" w:rsidRDefault="00C55104" w:rsidP="00C55104">
      <w:pPr>
        <w:rPr>
          <w:rFonts w:ascii="Arial" w:hAnsi="Arial" w:cs="Arial"/>
          <w:bCs/>
          <w:sz w:val="18"/>
          <w:szCs w:val="18"/>
        </w:rPr>
      </w:pPr>
      <w:r w:rsidRPr="007629B9">
        <w:rPr>
          <w:rFonts w:ascii="Arial" w:hAnsi="Arial" w:cs="Arial"/>
          <w:bCs/>
          <w:sz w:val="18"/>
          <w:szCs w:val="18"/>
        </w:rPr>
        <w:t xml:space="preserve">1. Στις μεταβάσεις συμμετέχουν 2 μηχανικοί, επομένως στα κόστη </w:t>
      </w:r>
      <w:proofErr w:type="spellStart"/>
      <w:r w:rsidRPr="007629B9">
        <w:rPr>
          <w:rFonts w:ascii="Arial" w:hAnsi="Arial" w:cs="Arial"/>
          <w:bCs/>
          <w:sz w:val="18"/>
          <w:szCs w:val="18"/>
        </w:rPr>
        <w:t>ταξιδίου</w:t>
      </w:r>
      <w:proofErr w:type="spellEnd"/>
      <w:r w:rsidRPr="007629B9">
        <w:rPr>
          <w:rFonts w:ascii="Arial" w:hAnsi="Arial" w:cs="Arial"/>
          <w:bCs/>
          <w:sz w:val="18"/>
          <w:szCs w:val="18"/>
        </w:rPr>
        <w:t xml:space="preserve"> και διαμονής θα πρέπει να συνυπολογιστούν 2 άτομα</w:t>
      </w:r>
    </w:p>
    <w:p w:rsidR="00C55104" w:rsidRPr="007629B9" w:rsidRDefault="00C55104" w:rsidP="00C55104">
      <w:pPr>
        <w:rPr>
          <w:rFonts w:ascii="Arial" w:hAnsi="Arial" w:cs="Arial"/>
          <w:bCs/>
          <w:sz w:val="18"/>
          <w:szCs w:val="18"/>
        </w:rPr>
      </w:pPr>
      <w:r w:rsidRPr="007629B9">
        <w:rPr>
          <w:rFonts w:ascii="Arial" w:hAnsi="Arial" w:cs="Arial"/>
          <w:bCs/>
          <w:sz w:val="18"/>
          <w:szCs w:val="18"/>
        </w:rPr>
        <w:t>2. Στις περιοχές Β και Γ, απαιτείται διαμονή 1 ημέρας</w:t>
      </w:r>
    </w:p>
    <w:p w:rsidR="00C55104" w:rsidRPr="007629B9" w:rsidRDefault="00C55104" w:rsidP="00C55104">
      <w:pPr>
        <w:rPr>
          <w:rFonts w:ascii="Arial" w:hAnsi="Arial" w:cs="Arial"/>
          <w:bCs/>
          <w:sz w:val="18"/>
          <w:szCs w:val="18"/>
        </w:rPr>
      </w:pPr>
      <w:r w:rsidRPr="007629B9">
        <w:rPr>
          <w:rFonts w:ascii="Arial" w:hAnsi="Arial" w:cs="Arial"/>
          <w:bCs/>
          <w:sz w:val="18"/>
          <w:szCs w:val="18"/>
        </w:rPr>
        <w:t xml:space="preserve">3.Στην περιοχή Γ , απαιτείται αεροπορικό ταξίδι  </w:t>
      </w:r>
    </w:p>
    <w:p w:rsidR="00C55104" w:rsidRPr="007629B9" w:rsidRDefault="00C55104" w:rsidP="00C55104">
      <w:pPr>
        <w:rPr>
          <w:rFonts w:ascii="Arial" w:hAnsi="Arial" w:cs="Arial"/>
          <w:bCs/>
          <w:sz w:val="18"/>
          <w:szCs w:val="18"/>
        </w:rPr>
      </w:pPr>
      <w:r w:rsidRPr="007629B9">
        <w:rPr>
          <w:rFonts w:ascii="Arial" w:hAnsi="Arial" w:cs="Arial"/>
          <w:bCs/>
          <w:sz w:val="18"/>
          <w:szCs w:val="18"/>
        </w:rPr>
        <w:t xml:space="preserve">4. Θεωρούμε ότι θα υπάρξει η εξής  κατανομή ανάμεσα στις 2 κατηγορίες : 20% κατηγορία Α, 30% κατηγορία Β, 50% κατηγορία Γ </w:t>
      </w:r>
    </w:p>
    <w:p w:rsidR="00C55104" w:rsidRPr="007629B9" w:rsidRDefault="00C55104" w:rsidP="00C55104">
      <w:pPr>
        <w:rPr>
          <w:rFonts w:ascii="Arial" w:hAnsi="Arial" w:cs="Arial"/>
          <w:bCs/>
          <w:sz w:val="18"/>
          <w:szCs w:val="18"/>
        </w:rPr>
      </w:pPr>
      <w:r w:rsidRPr="007629B9">
        <w:rPr>
          <w:rFonts w:ascii="Arial" w:hAnsi="Arial" w:cs="Arial"/>
          <w:bCs/>
          <w:sz w:val="18"/>
          <w:szCs w:val="18"/>
        </w:rPr>
        <w:t xml:space="preserve">5)50% συντελεστής ταυτοχρονισμού στα </w:t>
      </w:r>
      <w:proofErr w:type="spellStart"/>
      <w:r w:rsidRPr="007629B9">
        <w:rPr>
          <w:rFonts w:ascii="Arial" w:hAnsi="Arial" w:cs="Arial"/>
          <w:bCs/>
          <w:sz w:val="18"/>
          <w:szCs w:val="18"/>
        </w:rPr>
        <w:t>εξοδα</w:t>
      </w:r>
      <w:proofErr w:type="spellEnd"/>
      <w:r w:rsidRPr="007629B9">
        <w:rPr>
          <w:rFonts w:ascii="Arial" w:hAnsi="Arial" w:cs="Arial"/>
          <w:bCs/>
          <w:sz w:val="18"/>
          <w:szCs w:val="18"/>
        </w:rPr>
        <w:t xml:space="preserve"> ταξιδιού του </w:t>
      </w:r>
      <w:r w:rsidRPr="007629B9">
        <w:rPr>
          <w:rFonts w:ascii="Arial" w:hAnsi="Arial" w:cs="Arial"/>
          <w:bCs/>
          <w:sz w:val="18"/>
          <w:szCs w:val="18"/>
          <w:lang w:val="en-US"/>
        </w:rPr>
        <w:t>survey</w:t>
      </w:r>
      <w:r w:rsidRPr="007629B9">
        <w:rPr>
          <w:rFonts w:ascii="Arial" w:hAnsi="Arial" w:cs="Arial"/>
          <w:bCs/>
          <w:sz w:val="18"/>
          <w:szCs w:val="18"/>
        </w:rPr>
        <w:t xml:space="preserve"> </w:t>
      </w:r>
    </w:p>
    <w:p w:rsidR="00C55104" w:rsidRPr="007629B9" w:rsidRDefault="00C55104">
      <w:pPr>
        <w:rPr>
          <w:rFonts w:ascii="Arial" w:hAnsi="Arial" w:cs="Arial"/>
          <w:b/>
          <w:bCs/>
          <w:sz w:val="18"/>
          <w:szCs w:val="18"/>
        </w:rPr>
      </w:pPr>
    </w:p>
    <w:p w:rsidR="008E6D43" w:rsidRPr="007629B9" w:rsidRDefault="008E6D43">
      <w:pPr>
        <w:rPr>
          <w:rFonts w:ascii="Arial" w:hAnsi="Arial" w:cs="Arial"/>
          <w:b/>
          <w:bCs/>
          <w:sz w:val="18"/>
          <w:szCs w:val="18"/>
        </w:rPr>
      </w:pPr>
    </w:p>
    <w:tbl>
      <w:tblPr>
        <w:tblW w:w="10045" w:type="dxa"/>
        <w:tblInd w:w="-436" w:type="dxa"/>
        <w:tblLook w:val="04A0" w:firstRow="1" w:lastRow="0" w:firstColumn="1" w:lastColumn="0" w:noHBand="0" w:noVBand="1"/>
      </w:tblPr>
      <w:tblGrid>
        <w:gridCol w:w="4528"/>
        <w:gridCol w:w="1134"/>
        <w:gridCol w:w="1026"/>
        <w:gridCol w:w="2235"/>
        <w:gridCol w:w="1122"/>
      </w:tblGrid>
      <w:tr w:rsidR="00C55104" w:rsidRPr="007629B9" w:rsidTr="008E6D43">
        <w:trPr>
          <w:trHeight w:val="735"/>
        </w:trPr>
        <w:tc>
          <w:tcPr>
            <w:tcW w:w="10045" w:type="dxa"/>
            <w:gridSpan w:val="5"/>
            <w:tcBorders>
              <w:top w:val="single" w:sz="8" w:space="0" w:color="auto"/>
              <w:left w:val="single" w:sz="8" w:space="0" w:color="auto"/>
              <w:bottom w:val="single" w:sz="8" w:space="0" w:color="auto"/>
              <w:right w:val="single" w:sz="8" w:space="0" w:color="000000"/>
            </w:tcBorders>
            <w:shd w:val="clear" w:color="000000" w:fill="FFFF99"/>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ΠΙΝΑΚΑΣ ΥΠΟΛΟΓΙΣΜΟΥ ΚΟΣΤΟΥΣ ΜΕΤΑΦΟΡΑΣ ΣΥΝΔΕΣΗΣ ΑΣΥΡΜΑΤΗΣ ΠΡΟΣΒΑΣΗΣ ETHERNET (ΕΩΣ 1Gbps σε νέα θέση)</w:t>
            </w:r>
          </w:p>
        </w:tc>
      </w:tr>
      <w:tr w:rsidR="00C55104" w:rsidRPr="007629B9" w:rsidTr="008E6D43">
        <w:trPr>
          <w:trHeight w:val="270"/>
        </w:trPr>
        <w:tc>
          <w:tcPr>
            <w:tcW w:w="4528" w:type="dxa"/>
            <w:tcBorders>
              <w:top w:val="nil"/>
              <w:left w:val="nil"/>
              <w:bottom w:val="nil"/>
              <w:right w:val="nil"/>
            </w:tcBorders>
            <w:shd w:val="clear" w:color="000000" w:fill="auto"/>
            <w:noWrap/>
            <w:vAlign w:val="bottom"/>
            <w:hideMark/>
          </w:tcPr>
          <w:p w:rsidR="00C55104" w:rsidRPr="007629B9" w:rsidRDefault="00C55104">
            <w:pPr>
              <w:jc w:val="center"/>
              <w:rPr>
                <w:rFonts w:ascii="Arial" w:hAnsi="Arial" w:cs="Arial"/>
                <w:b/>
                <w:bCs/>
                <w:sz w:val="18"/>
                <w:szCs w:val="18"/>
              </w:rPr>
            </w:pPr>
          </w:p>
        </w:tc>
        <w:tc>
          <w:tcPr>
            <w:tcW w:w="1134"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c>
          <w:tcPr>
            <w:tcW w:w="1026"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c>
          <w:tcPr>
            <w:tcW w:w="2235"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c>
          <w:tcPr>
            <w:tcW w:w="1122"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r>
      <w:tr w:rsidR="00C55104" w:rsidRPr="007629B9" w:rsidTr="008E6D43">
        <w:trPr>
          <w:trHeight w:val="495"/>
        </w:trPr>
        <w:tc>
          <w:tcPr>
            <w:tcW w:w="4528" w:type="dxa"/>
            <w:tcBorders>
              <w:top w:val="single" w:sz="8" w:space="0" w:color="auto"/>
              <w:left w:val="single" w:sz="8" w:space="0" w:color="auto"/>
              <w:bottom w:val="single" w:sz="8" w:space="0" w:color="auto"/>
              <w:right w:val="nil"/>
            </w:tcBorders>
            <w:shd w:val="clear" w:color="000000" w:fill="D0CECE"/>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Περιγραφή εργασιών</w:t>
            </w:r>
          </w:p>
        </w:tc>
        <w:tc>
          <w:tcPr>
            <w:tcW w:w="1134" w:type="dxa"/>
            <w:tcBorders>
              <w:top w:val="single" w:sz="8" w:space="0" w:color="auto"/>
              <w:left w:val="single" w:sz="4" w:space="0" w:color="auto"/>
              <w:bottom w:val="single" w:sz="4" w:space="0" w:color="auto"/>
              <w:right w:val="single" w:sz="4" w:space="0" w:color="auto"/>
            </w:tcBorders>
            <w:shd w:val="clear" w:color="000000" w:fill="D0CECE"/>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ΧΡΟΝΟΣ ΕΡΓΑΣΙΑΣ (Ώρες)</w:t>
            </w:r>
          </w:p>
        </w:tc>
        <w:tc>
          <w:tcPr>
            <w:tcW w:w="1026" w:type="dxa"/>
            <w:tcBorders>
              <w:top w:val="single" w:sz="8" w:space="0" w:color="auto"/>
              <w:left w:val="nil"/>
              <w:bottom w:val="single" w:sz="4" w:space="0" w:color="auto"/>
              <w:right w:val="single" w:sz="4" w:space="0" w:color="auto"/>
            </w:tcBorders>
            <w:shd w:val="clear" w:color="000000" w:fill="D0CECE"/>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w:t>
            </w:r>
          </w:p>
        </w:tc>
        <w:tc>
          <w:tcPr>
            <w:tcW w:w="2235" w:type="dxa"/>
            <w:tcBorders>
              <w:top w:val="single" w:sz="8" w:space="0" w:color="auto"/>
              <w:left w:val="nil"/>
              <w:bottom w:val="single" w:sz="4" w:space="0" w:color="auto"/>
              <w:right w:val="single" w:sz="4" w:space="0" w:color="auto"/>
            </w:tcBorders>
            <w:shd w:val="clear" w:color="000000" w:fill="D0CECE"/>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xml:space="preserve"> €</w:t>
            </w:r>
          </w:p>
        </w:tc>
        <w:tc>
          <w:tcPr>
            <w:tcW w:w="1122" w:type="dxa"/>
            <w:tcBorders>
              <w:top w:val="single" w:sz="8" w:space="0" w:color="auto"/>
              <w:left w:val="nil"/>
              <w:bottom w:val="single" w:sz="4" w:space="0" w:color="auto"/>
              <w:right w:val="single" w:sz="8" w:space="0" w:color="auto"/>
            </w:tcBorders>
            <w:shd w:val="clear" w:color="000000" w:fill="D0CECE"/>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xml:space="preserve"> €</w:t>
            </w:r>
          </w:p>
        </w:tc>
      </w:tr>
      <w:tr w:rsidR="008E6D43" w:rsidRPr="007629B9" w:rsidTr="008E6D43">
        <w:trPr>
          <w:trHeight w:val="825"/>
        </w:trPr>
        <w:tc>
          <w:tcPr>
            <w:tcW w:w="4528" w:type="dxa"/>
            <w:tcBorders>
              <w:top w:val="nil"/>
              <w:left w:val="single" w:sz="8" w:space="0" w:color="auto"/>
              <w:bottom w:val="single" w:sz="8" w:space="0" w:color="auto"/>
              <w:right w:val="nil"/>
            </w:tcBorders>
            <w:shd w:val="clear" w:color="000000" w:fill="FCE4D6"/>
            <w:noWrap/>
            <w:vAlign w:val="center"/>
            <w:hideMark/>
          </w:tcPr>
          <w:p w:rsidR="00C55104" w:rsidRPr="007629B9" w:rsidRDefault="00C55104">
            <w:pPr>
              <w:rPr>
                <w:rFonts w:ascii="Arial" w:hAnsi="Arial" w:cs="Arial"/>
                <w:b/>
                <w:bCs/>
                <w:sz w:val="18"/>
                <w:szCs w:val="18"/>
              </w:rPr>
            </w:pPr>
            <w:r w:rsidRPr="007629B9">
              <w:rPr>
                <w:rFonts w:ascii="Arial" w:hAnsi="Arial" w:cs="Arial"/>
                <w:b/>
                <w:bCs/>
                <w:sz w:val="18"/>
                <w:szCs w:val="18"/>
              </w:rPr>
              <w:t>ΕΜΠΟΡΙΚΕΣ ΔΙΑΧΕΙΡΙΣΤΙΚΕΣ   ΕΡΓΑΣΙΕΣ</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xml:space="preserve">Ζώνη Α&lt;200km Αθήνα </w:t>
            </w:r>
          </w:p>
        </w:tc>
        <w:tc>
          <w:tcPr>
            <w:tcW w:w="2235" w:type="dxa"/>
            <w:tcBorders>
              <w:top w:val="nil"/>
              <w:left w:val="nil"/>
              <w:bottom w:val="single" w:sz="4" w:space="0" w:color="auto"/>
              <w:right w:val="nil"/>
            </w:tcBorders>
            <w:shd w:val="clear" w:color="000000" w:fill="FFFFFF"/>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Ζώνη Β Ηπειρωτική Ελλάδα (&gt;200km Αθήνα)</w:t>
            </w:r>
          </w:p>
        </w:tc>
        <w:tc>
          <w:tcPr>
            <w:tcW w:w="1122" w:type="dxa"/>
            <w:tcBorders>
              <w:top w:val="nil"/>
              <w:left w:val="single" w:sz="4" w:space="0" w:color="auto"/>
              <w:bottom w:val="single" w:sz="4" w:space="0" w:color="auto"/>
              <w:right w:val="single" w:sz="8" w:space="0" w:color="auto"/>
            </w:tcBorders>
            <w:shd w:val="clear" w:color="000000" w:fill="FFFFFF"/>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Ζώνη Γ</w:t>
            </w:r>
            <w:r w:rsidRPr="007629B9">
              <w:rPr>
                <w:rFonts w:ascii="Arial" w:hAnsi="Arial" w:cs="Arial"/>
                <w:b/>
                <w:bCs/>
                <w:sz w:val="18"/>
                <w:szCs w:val="18"/>
              </w:rPr>
              <w:br/>
              <w:t>Νησιωτική Ελλάδα</w:t>
            </w:r>
          </w:p>
        </w:tc>
      </w:tr>
      <w:tr w:rsidR="00C55104" w:rsidRPr="007629B9" w:rsidTr="008E6D43">
        <w:trPr>
          <w:trHeight w:val="255"/>
        </w:trPr>
        <w:tc>
          <w:tcPr>
            <w:tcW w:w="4528" w:type="dxa"/>
            <w:tcBorders>
              <w:top w:val="nil"/>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Αποστολή αιτημάτων από Εμπορική Υπηρεσία προς Υπηρεσία </w:t>
            </w:r>
            <w:proofErr w:type="spellStart"/>
            <w:r w:rsidRPr="007629B9">
              <w:rPr>
                <w:rFonts w:ascii="Arial" w:hAnsi="Arial" w:cs="Arial"/>
                <w:color w:val="000000"/>
                <w:sz w:val="18"/>
                <w:szCs w:val="18"/>
              </w:rPr>
              <w:t>Παρόχων</w:t>
            </w:r>
            <w:proofErr w:type="spellEnd"/>
          </w:p>
        </w:tc>
        <w:tc>
          <w:tcPr>
            <w:tcW w:w="1134" w:type="dxa"/>
            <w:vMerge w:val="restart"/>
            <w:tcBorders>
              <w:top w:val="nil"/>
              <w:left w:val="nil"/>
              <w:bottom w:val="nil"/>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2,00</w:t>
            </w:r>
          </w:p>
        </w:tc>
        <w:tc>
          <w:tcPr>
            <w:tcW w:w="1026" w:type="dxa"/>
            <w:vMerge w:val="restart"/>
            <w:tcBorders>
              <w:top w:val="nil"/>
              <w:left w:val="single" w:sz="4" w:space="0" w:color="auto"/>
              <w:bottom w:val="single" w:sz="4" w:space="0" w:color="000000"/>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vMerge w:val="restart"/>
            <w:tcBorders>
              <w:top w:val="nil"/>
              <w:left w:val="single" w:sz="4" w:space="0" w:color="auto"/>
              <w:bottom w:val="single" w:sz="4" w:space="0" w:color="000000"/>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vMerge w:val="restart"/>
            <w:tcBorders>
              <w:top w:val="nil"/>
              <w:left w:val="single" w:sz="4" w:space="0" w:color="auto"/>
              <w:bottom w:val="nil"/>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8E6D43" w:rsidRPr="007629B9" w:rsidTr="008E6D43">
        <w:trPr>
          <w:trHeight w:val="255"/>
        </w:trPr>
        <w:tc>
          <w:tcPr>
            <w:tcW w:w="4528" w:type="dxa"/>
            <w:tcBorders>
              <w:top w:val="nil"/>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Παρακολούθηση ολοκλήρωσης αιτημάτων</w:t>
            </w:r>
          </w:p>
        </w:tc>
        <w:tc>
          <w:tcPr>
            <w:tcW w:w="1134" w:type="dxa"/>
            <w:vMerge/>
            <w:tcBorders>
              <w:top w:val="nil"/>
              <w:left w:val="nil"/>
              <w:bottom w:val="nil"/>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nil"/>
              <w:left w:val="single" w:sz="4" w:space="0" w:color="auto"/>
              <w:bottom w:val="nil"/>
              <w:right w:val="single" w:sz="8" w:space="0" w:color="auto"/>
            </w:tcBorders>
            <w:vAlign w:val="center"/>
            <w:hideMark/>
          </w:tcPr>
          <w:p w:rsidR="00C55104" w:rsidRPr="007629B9" w:rsidRDefault="00C55104">
            <w:pPr>
              <w:rPr>
                <w:rFonts w:ascii="Arial" w:hAnsi="Arial" w:cs="Arial"/>
                <w:sz w:val="18"/>
                <w:szCs w:val="18"/>
              </w:rPr>
            </w:pPr>
          </w:p>
        </w:tc>
      </w:tr>
      <w:tr w:rsidR="008E6D43" w:rsidRPr="007629B9" w:rsidTr="008E6D43">
        <w:trPr>
          <w:trHeight w:val="255"/>
        </w:trPr>
        <w:tc>
          <w:tcPr>
            <w:tcW w:w="4528" w:type="dxa"/>
            <w:tcBorders>
              <w:top w:val="nil"/>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Αναζήτηση επιπλέον πληροφοριών για τις ομάδες της Τεχνολογίας (ελλιπής αίτηση).</w:t>
            </w:r>
          </w:p>
        </w:tc>
        <w:tc>
          <w:tcPr>
            <w:tcW w:w="1134" w:type="dxa"/>
            <w:vMerge/>
            <w:tcBorders>
              <w:top w:val="nil"/>
              <w:left w:val="nil"/>
              <w:bottom w:val="nil"/>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nil"/>
              <w:left w:val="single" w:sz="4" w:space="0" w:color="auto"/>
              <w:bottom w:val="nil"/>
              <w:right w:val="single" w:sz="8" w:space="0" w:color="auto"/>
            </w:tcBorders>
            <w:vAlign w:val="center"/>
            <w:hideMark/>
          </w:tcPr>
          <w:p w:rsidR="00C55104" w:rsidRPr="007629B9" w:rsidRDefault="00C55104">
            <w:pPr>
              <w:rPr>
                <w:rFonts w:ascii="Arial" w:hAnsi="Arial" w:cs="Arial"/>
                <w:sz w:val="18"/>
                <w:szCs w:val="18"/>
              </w:rPr>
            </w:pPr>
          </w:p>
        </w:tc>
      </w:tr>
      <w:tr w:rsidR="008E6D43" w:rsidRPr="007629B9" w:rsidTr="008E6D43">
        <w:trPr>
          <w:trHeight w:val="255"/>
        </w:trPr>
        <w:tc>
          <w:tcPr>
            <w:tcW w:w="4528" w:type="dxa"/>
            <w:tcBorders>
              <w:top w:val="nil"/>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Ενημέρωση εμπορικών για την ολοκλήρωση των αιτημάτων.</w:t>
            </w:r>
          </w:p>
        </w:tc>
        <w:tc>
          <w:tcPr>
            <w:tcW w:w="1134" w:type="dxa"/>
            <w:vMerge/>
            <w:tcBorders>
              <w:top w:val="nil"/>
              <w:left w:val="nil"/>
              <w:bottom w:val="nil"/>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nil"/>
              <w:left w:val="single" w:sz="4" w:space="0" w:color="auto"/>
              <w:bottom w:val="nil"/>
              <w:right w:val="single" w:sz="8" w:space="0" w:color="auto"/>
            </w:tcBorders>
            <w:vAlign w:val="center"/>
            <w:hideMark/>
          </w:tcPr>
          <w:p w:rsidR="00C55104" w:rsidRPr="007629B9" w:rsidRDefault="00C55104">
            <w:pPr>
              <w:rPr>
                <w:rFonts w:ascii="Arial" w:hAnsi="Arial" w:cs="Arial"/>
                <w:sz w:val="18"/>
                <w:szCs w:val="18"/>
              </w:rPr>
            </w:pPr>
          </w:p>
        </w:tc>
      </w:tr>
      <w:tr w:rsidR="008E6D43" w:rsidRPr="007629B9" w:rsidTr="008E6D43">
        <w:trPr>
          <w:trHeight w:val="255"/>
        </w:trPr>
        <w:tc>
          <w:tcPr>
            <w:tcW w:w="4528" w:type="dxa"/>
            <w:tcBorders>
              <w:top w:val="nil"/>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Αποστολή στοιχείων προς την πληροφορική σε περίπτωση συστημικών προβλημάτων.</w:t>
            </w:r>
          </w:p>
        </w:tc>
        <w:tc>
          <w:tcPr>
            <w:tcW w:w="1134" w:type="dxa"/>
            <w:vMerge/>
            <w:tcBorders>
              <w:top w:val="nil"/>
              <w:left w:val="nil"/>
              <w:bottom w:val="nil"/>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nil"/>
              <w:left w:val="single" w:sz="4" w:space="0" w:color="auto"/>
              <w:bottom w:val="nil"/>
              <w:right w:val="single" w:sz="8" w:space="0" w:color="auto"/>
            </w:tcBorders>
            <w:vAlign w:val="center"/>
            <w:hideMark/>
          </w:tcPr>
          <w:p w:rsidR="00C55104" w:rsidRPr="007629B9" w:rsidRDefault="00C55104">
            <w:pPr>
              <w:rPr>
                <w:rFonts w:ascii="Arial" w:hAnsi="Arial" w:cs="Arial"/>
                <w:sz w:val="18"/>
                <w:szCs w:val="18"/>
              </w:rPr>
            </w:pPr>
          </w:p>
        </w:tc>
      </w:tr>
      <w:tr w:rsidR="008E6D43" w:rsidRPr="007629B9" w:rsidTr="008E6D43">
        <w:trPr>
          <w:trHeight w:val="270"/>
        </w:trPr>
        <w:tc>
          <w:tcPr>
            <w:tcW w:w="4528" w:type="dxa"/>
            <w:tcBorders>
              <w:top w:val="nil"/>
              <w:left w:val="single" w:sz="8" w:space="0" w:color="auto"/>
              <w:bottom w:val="nil"/>
              <w:right w:val="single" w:sz="8" w:space="0" w:color="auto"/>
            </w:tcBorders>
            <w:shd w:val="clear" w:color="000000" w:fill="auto"/>
            <w:vAlign w:val="bottom"/>
            <w:hideMark/>
          </w:tcPr>
          <w:p w:rsidR="00C55104" w:rsidRPr="007629B9" w:rsidRDefault="00C55104">
            <w:pPr>
              <w:rPr>
                <w:rFonts w:ascii="Arial" w:hAnsi="Arial" w:cs="Arial"/>
                <w:sz w:val="18"/>
                <w:szCs w:val="18"/>
              </w:rPr>
            </w:pPr>
            <w:r w:rsidRPr="007629B9">
              <w:rPr>
                <w:rFonts w:ascii="Arial" w:hAnsi="Arial" w:cs="Arial"/>
                <w:sz w:val="18"/>
                <w:szCs w:val="18"/>
              </w:rPr>
              <w:t>Επικοινωνία Εμπορικών με τον πελάτη για διευκρινήσεις όταν απαιτούνται.</w:t>
            </w:r>
          </w:p>
        </w:tc>
        <w:tc>
          <w:tcPr>
            <w:tcW w:w="1134" w:type="dxa"/>
            <w:vMerge/>
            <w:tcBorders>
              <w:top w:val="nil"/>
              <w:left w:val="nil"/>
              <w:bottom w:val="nil"/>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nil"/>
              <w:left w:val="single" w:sz="4"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nil"/>
              <w:left w:val="single" w:sz="4" w:space="0" w:color="auto"/>
              <w:bottom w:val="nil"/>
              <w:right w:val="single" w:sz="8"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315"/>
        </w:trPr>
        <w:tc>
          <w:tcPr>
            <w:tcW w:w="4528"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 xml:space="preserve">TΕΧΝΙΚΕΣ ΔΡΑΣΤΗΡΙΟΤΗΤΕΣ </w:t>
            </w:r>
          </w:p>
        </w:tc>
        <w:tc>
          <w:tcPr>
            <w:tcW w:w="1134" w:type="dxa"/>
            <w:tcBorders>
              <w:top w:val="single" w:sz="4" w:space="0" w:color="auto"/>
              <w:left w:val="nil"/>
              <w:bottom w:val="nil"/>
              <w:right w:val="nil"/>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26" w:type="dxa"/>
            <w:tcBorders>
              <w:top w:val="nil"/>
              <w:left w:val="nil"/>
              <w:bottom w:val="nil"/>
              <w:right w:val="nil"/>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tcBorders>
              <w:top w:val="nil"/>
              <w:left w:val="nil"/>
              <w:bottom w:val="nil"/>
              <w:right w:val="nil"/>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tcBorders>
              <w:top w:val="single" w:sz="4" w:space="0" w:color="auto"/>
              <w:left w:val="nil"/>
              <w:bottom w:val="nil"/>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4528" w:type="dxa"/>
            <w:tcBorders>
              <w:top w:val="nil"/>
              <w:left w:val="single" w:sz="8" w:space="0" w:color="auto"/>
              <w:bottom w:val="nil"/>
              <w:right w:val="single" w:sz="8" w:space="0" w:color="auto"/>
            </w:tcBorders>
            <w:shd w:val="clear" w:color="000000"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Εντολή εργασίας ζεύξης (μηχανικός)</w:t>
            </w:r>
          </w:p>
        </w:tc>
        <w:tc>
          <w:tcPr>
            <w:tcW w:w="1134" w:type="dxa"/>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8,00</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vMerge w:val="restart"/>
            <w:tcBorders>
              <w:top w:val="single" w:sz="4" w:space="0" w:color="auto"/>
              <w:left w:val="single" w:sz="4" w:space="0" w:color="auto"/>
              <w:bottom w:val="single" w:sz="4" w:space="0" w:color="auto"/>
              <w:right w:val="single" w:sz="8" w:space="0" w:color="auto"/>
            </w:tcBorders>
            <w:shd w:val="clear" w:color="000000" w:fill="auto"/>
            <w:vAlign w:val="center"/>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4528" w:type="dxa"/>
            <w:tcBorders>
              <w:top w:val="nil"/>
              <w:left w:val="single" w:sz="8" w:space="0" w:color="auto"/>
              <w:bottom w:val="nil"/>
              <w:right w:val="single" w:sz="8" w:space="0" w:color="auto"/>
            </w:tcBorders>
            <w:shd w:val="clear" w:color="000000"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Εντολή εργασίας δρομολόγησης  Transport</w:t>
            </w:r>
          </w:p>
        </w:tc>
        <w:tc>
          <w:tcPr>
            <w:tcW w:w="1134" w:type="dxa"/>
            <w:vMerge/>
            <w:tcBorders>
              <w:top w:val="single" w:sz="4" w:space="0" w:color="auto"/>
              <w:left w:val="single" w:sz="8"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single" w:sz="4" w:space="0" w:color="auto"/>
              <w:left w:val="single" w:sz="4" w:space="0" w:color="auto"/>
              <w:bottom w:val="single" w:sz="4" w:space="0" w:color="auto"/>
              <w:right w:val="single" w:sz="8"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300"/>
        </w:trPr>
        <w:tc>
          <w:tcPr>
            <w:tcW w:w="4528" w:type="dxa"/>
            <w:tcBorders>
              <w:top w:val="nil"/>
              <w:left w:val="single" w:sz="8" w:space="0" w:color="auto"/>
              <w:bottom w:val="nil"/>
              <w:right w:val="single" w:sz="8" w:space="0" w:color="auto"/>
            </w:tcBorders>
            <w:shd w:val="clear" w:color="000000"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Απεικόνιση σχεδιασμού στα ΠΣ</w:t>
            </w:r>
          </w:p>
        </w:tc>
        <w:tc>
          <w:tcPr>
            <w:tcW w:w="1134" w:type="dxa"/>
            <w:vMerge/>
            <w:tcBorders>
              <w:top w:val="single" w:sz="4" w:space="0" w:color="auto"/>
              <w:left w:val="single" w:sz="8"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single" w:sz="4" w:space="0" w:color="auto"/>
              <w:left w:val="single" w:sz="4" w:space="0" w:color="auto"/>
              <w:bottom w:val="single" w:sz="4" w:space="0" w:color="auto"/>
              <w:right w:val="single" w:sz="8"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300"/>
        </w:trPr>
        <w:tc>
          <w:tcPr>
            <w:tcW w:w="4528" w:type="dxa"/>
            <w:tcBorders>
              <w:top w:val="nil"/>
              <w:left w:val="single" w:sz="8" w:space="0" w:color="auto"/>
              <w:bottom w:val="nil"/>
              <w:right w:val="single" w:sz="8" w:space="0" w:color="auto"/>
            </w:tcBorders>
            <w:shd w:val="clear" w:color="000000" w:fill="auto"/>
            <w:noWrap/>
            <w:vAlign w:val="bottom"/>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Παρακολούθηση/ συντονισμός </w:t>
            </w:r>
            <w:proofErr w:type="spellStart"/>
            <w:r w:rsidRPr="007629B9">
              <w:rPr>
                <w:rFonts w:ascii="Arial" w:hAnsi="Arial" w:cs="Arial"/>
                <w:color w:val="000000"/>
                <w:sz w:val="18"/>
                <w:szCs w:val="18"/>
              </w:rPr>
              <w:t>roll</w:t>
            </w:r>
            <w:proofErr w:type="spellEnd"/>
            <w:r w:rsidRPr="007629B9">
              <w:rPr>
                <w:rFonts w:ascii="Arial" w:hAnsi="Arial" w:cs="Arial"/>
                <w:color w:val="000000"/>
                <w:sz w:val="18"/>
                <w:szCs w:val="18"/>
              </w:rPr>
              <w:t xml:space="preserve"> </w:t>
            </w:r>
            <w:proofErr w:type="spellStart"/>
            <w:r w:rsidRPr="007629B9">
              <w:rPr>
                <w:rFonts w:ascii="Arial" w:hAnsi="Arial" w:cs="Arial"/>
                <w:color w:val="000000"/>
                <w:sz w:val="18"/>
                <w:szCs w:val="18"/>
              </w:rPr>
              <w:t>out</w:t>
            </w:r>
            <w:proofErr w:type="spellEnd"/>
          </w:p>
        </w:tc>
        <w:tc>
          <w:tcPr>
            <w:tcW w:w="1134" w:type="dxa"/>
            <w:vMerge/>
            <w:tcBorders>
              <w:top w:val="single" w:sz="4" w:space="0" w:color="auto"/>
              <w:left w:val="single" w:sz="8" w:space="0" w:color="auto"/>
              <w:bottom w:val="single" w:sz="4" w:space="0" w:color="000000"/>
              <w:right w:val="single" w:sz="4" w:space="0" w:color="auto"/>
            </w:tcBorders>
            <w:vAlign w:val="center"/>
            <w:hideMark/>
          </w:tcPr>
          <w:p w:rsidR="00C55104" w:rsidRPr="007629B9" w:rsidRDefault="00C55104">
            <w:pPr>
              <w:rPr>
                <w:rFonts w:ascii="Arial" w:hAnsi="Arial" w:cs="Arial"/>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C55104" w:rsidRPr="007629B9" w:rsidRDefault="00C55104">
            <w:pPr>
              <w:rPr>
                <w:rFonts w:ascii="Arial" w:hAnsi="Arial" w:cs="Arial"/>
                <w:sz w:val="18"/>
                <w:szCs w:val="18"/>
              </w:rPr>
            </w:pPr>
          </w:p>
        </w:tc>
        <w:tc>
          <w:tcPr>
            <w:tcW w:w="1122" w:type="dxa"/>
            <w:vMerge/>
            <w:tcBorders>
              <w:top w:val="single" w:sz="4" w:space="0" w:color="auto"/>
              <w:left w:val="single" w:sz="4" w:space="0" w:color="auto"/>
              <w:bottom w:val="single" w:sz="4" w:space="0" w:color="auto"/>
              <w:right w:val="single" w:sz="8" w:space="0" w:color="auto"/>
            </w:tcBorders>
            <w:vAlign w:val="center"/>
            <w:hideMark/>
          </w:tcPr>
          <w:p w:rsidR="00C55104" w:rsidRPr="007629B9" w:rsidRDefault="00C55104">
            <w:pPr>
              <w:rPr>
                <w:rFonts w:ascii="Arial" w:hAnsi="Arial" w:cs="Arial"/>
                <w:sz w:val="18"/>
                <w:szCs w:val="18"/>
              </w:rPr>
            </w:pPr>
          </w:p>
        </w:tc>
      </w:tr>
      <w:tr w:rsidR="00C55104" w:rsidRPr="007629B9" w:rsidTr="008E6D43">
        <w:trPr>
          <w:trHeight w:val="1785"/>
        </w:trPr>
        <w:tc>
          <w:tcPr>
            <w:tcW w:w="4528" w:type="dxa"/>
            <w:tcBorders>
              <w:top w:val="single" w:sz="4" w:space="0" w:color="auto"/>
              <w:left w:val="single" w:sz="8" w:space="0" w:color="auto"/>
              <w:bottom w:val="single" w:sz="4" w:space="0" w:color="auto"/>
              <w:right w:val="single" w:sz="8" w:space="0" w:color="auto"/>
            </w:tcBorders>
            <w:shd w:val="clear" w:color="000000" w:fill="auto"/>
            <w:vAlign w:val="bottom"/>
            <w:hideMark/>
          </w:tcPr>
          <w:p w:rsidR="00C55104" w:rsidRPr="007629B9" w:rsidRDefault="00C55104">
            <w:pPr>
              <w:rPr>
                <w:rFonts w:ascii="Arial" w:hAnsi="Arial" w:cs="Arial"/>
                <w:sz w:val="18"/>
                <w:szCs w:val="18"/>
              </w:rPr>
            </w:pPr>
            <w:proofErr w:type="spellStart"/>
            <w:r w:rsidRPr="007629B9">
              <w:rPr>
                <w:rFonts w:ascii="Arial" w:hAnsi="Arial" w:cs="Arial"/>
                <w:sz w:val="18"/>
                <w:szCs w:val="18"/>
              </w:rPr>
              <w:t>Work</w:t>
            </w:r>
            <w:proofErr w:type="spellEnd"/>
            <w:r w:rsidRPr="007629B9">
              <w:rPr>
                <w:rFonts w:ascii="Arial" w:hAnsi="Arial" w:cs="Arial"/>
                <w:sz w:val="18"/>
                <w:szCs w:val="18"/>
              </w:rPr>
              <w:t xml:space="preserve"> </w:t>
            </w:r>
            <w:proofErr w:type="spellStart"/>
            <w:r w:rsidRPr="007629B9">
              <w:rPr>
                <w:rFonts w:ascii="Arial" w:hAnsi="Arial" w:cs="Arial"/>
                <w:sz w:val="18"/>
                <w:szCs w:val="18"/>
              </w:rPr>
              <w:t>order</w:t>
            </w:r>
            <w:proofErr w:type="spellEnd"/>
            <w:r w:rsidRPr="007629B9">
              <w:rPr>
                <w:rFonts w:ascii="Arial" w:hAnsi="Arial" w:cs="Arial"/>
                <w:sz w:val="18"/>
                <w:szCs w:val="18"/>
              </w:rPr>
              <w:t xml:space="preserve"> </w:t>
            </w:r>
            <w:proofErr w:type="spellStart"/>
            <w:r w:rsidRPr="007629B9">
              <w:rPr>
                <w:rFonts w:ascii="Arial" w:hAnsi="Arial" w:cs="Arial"/>
                <w:sz w:val="18"/>
                <w:szCs w:val="18"/>
              </w:rPr>
              <w:t>Assignments</w:t>
            </w:r>
            <w:proofErr w:type="spellEnd"/>
            <w:r w:rsidRPr="007629B9">
              <w:rPr>
                <w:rFonts w:ascii="Arial" w:hAnsi="Arial" w:cs="Arial"/>
                <w:sz w:val="18"/>
                <w:szCs w:val="18"/>
              </w:rPr>
              <w:t xml:space="preserve">, </w:t>
            </w:r>
            <w:proofErr w:type="spellStart"/>
            <w:r w:rsidRPr="007629B9">
              <w:rPr>
                <w:rFonts w:ascii="Arial" w:hAnsi="Arial" w:cs="Arial"/>
                <w:sz w:val="18"/>
                <w:szCs w:val="18"/>
              </w:rPr>
              <w:t>Site</w:t>
            </w:r>
            <w:proofErr w:type="spellEnd"/>
            <w:r w:rsidRPr="007629B9">
              <w:rPr>
                <w:rFonts w:ascii="Arial" w:hAnsi="Arial" w:cs="Arial"/>
                <w:sz w:val="18"/>
                <w:szCs w:val="18"/>
              </w:rPr>
              <w:t xml:space="preserve"> </w:t>
            </w:r>
            <w:proofErr w:type="spellStart"/>
            <w:r w:rsidRPr="007629B9">
              <w:rPr>
                <w:rFonts w:ascii="Arial" w:hAnsi="Arial" w:cs="Arial"/>
                <w:sz w:val="18"/>
                <w:szCs w:val="18"/>
              </w:rPr>
              <w:t>Survey</w:t>
            </w:r>
            <w:proofErr w:type="spellEnd"/>
            <w:r w:rsidRPr="007629B9">
              <w:rPr>
                <w:rFonts w:ascii="Arial" w:hAnsi="Arial" w:cs="Arial"/>
                <w:sz w:val="18"/>
                <w:szCs w:val="18"/>
              </w:rPr>
              <w:t xml:space="preserve"> </w:t>
            </w:r>
            <w:proofErr w:type="spellStart"/>
            <w:r w:rsidRPr="007629B9">
              <w:rPr>
                <w:rFonts w:ascii="Arial" w:hAnsi="Arial" w:cs="Arial"/>
                <w:sz w:val="18"/>
                <w:szCs w:val="18"/>
              </w:rPr>
              <w:t>Approvals</w:t>
            </w:r>
            <w:proofErr w:type="spellEnd"/>
            <w:r w:rsidRPr="007629B9">
              <w:rPr>
                <w:rFonts w:ascii="Arial" w:hAnsi="Arial" w:cs="Arial"/>
                <w:sz w:val="18"/>
                <w:szCs w:val="18"/>
              </w:rPr>
              <w:t>,</w:t>
            </w:r>
            <w:r w:rsidRPr="007629B9">
              <w:rPr>
                <w:rFonts w:ascii="Arial" w:hAnsi="Arial" w:cs="Arial"/>
                <w:sz w:val="18"/>
                <w:szCs w:val="18"/>
              </w:rPr>
              <w:br/>
              <w:t>· Συντονισμού Υλοποίησης, Επίλυσης τεχνικών θεμάτων επί της υλοποίησης</w:t>
            </w:r>
            <w:r w:rsidRPr="007629B9">
              <w:rPr>
                <w:rFonts w:ascii="Arial" w:hAnsi="Arial" w:cs="Arial"/>
                <w:sz w:val="18"/>
                <w:szCs w:val="18"/>
              </w:rPr>
              <w:br/>
              <w:t>· Διακίνησης – διαχείρισης υλικών,</w:t>
            </w:r>
            <w:r w:rsidRPr="007629B9">
              <w:rPr>
                <w:rFonts w:ascii="Arial" w:hAnsi="Arial" w:cs="Arial"/>
                <w:sz w:val="18"/>
                <w:szCs w:val="18"/>
              </w:rPr>
              <w:br/>
              <w:t xml:space="preserve">· Services </w:t>
            </w:r>
            <w:proofErr w:type="spellStart"/>
            <w:r w:rsidRPr="007629B9">
              <w:rPr>
                <w:rFonts w:ascii="Arial" w:hAnsi="Arial" w:cs="Arial"/>
                <w:sz w:val="18"/>
                <w:szCs w:val="18"/>
              </w:rPr>
              <w:t>Provisioning</w:t>
            </w:r>
            <w:proofErr w:type="spellEnd"/>
            <w:r w:rsidRPr="007629B9">
              <w:rPr>
                <w:rFonts w:ascii="Arial" w:hAnsi="Arial" w:cs="Arial"/>
                <w:sz w:val="18"/>
                <w:szCs w:val="18"/>
              </w:rPr>
              <w:t xml:space="preserve"> </w:t>
            </w:r>
            <w:proofErr w:type="spellStart"/>
            <w:r w:rsidRPr="007629B9">
              <w:rPr>
                <w:rFonts w:ascii="Arial" w:hAnsi="Arial" w:cs="Arial"/>
                <w:sz w:val="18"/>
                <w:szCs w:val="18"/>
              </w:rPr>
              <w:t>via</w:t>
            </w:r>
            <w:proofErr w:type="spellEnd"/>
            <w:r w:rsidRPr="007629B9">
              <w:rPr>
                <w:rFonts w:ascii="Arial" w:hAnsi="Arial" w:cs="Arial"/>
                <w:sz w:val="18"/>
                <w:szCs w:val="18"/>
              </w:rPr>
              <w:t xml:space="preserve"> NMS </w:t>
            </w:r>
            <w:proofErr w:type="spellStart"/>
            <w:r w:rsidRPr="007629B9">
              <w:rPr>
                <w:rFonts w:ascii="Arial" w:hAnsi="Arial" w:cs="Arial"/>
                <w:sz w:val="18"/>
                <w:szCs w:val="18"/>
              </w:rPr>
              <w:t>platforms</w:t>
            </w:r>
            <w:proofErr w:type="spellEnd"/>
            <w:r w:rsidRPr="007629B9">
              <w:rPr>
                <w:rFonts w:ascii="Arial" w:hAnsi="Arial" w:cs="Arial"/>
                <w:sz w:val="18"/>
                <w:szCs w:val="18"/>
              </w:rPr>
              <w:br/>
              <w:t xml:space="preserve">· </w:t>
            </w:r>
            <w:proofErr w:type="spellStart"/>
            <w:r w:rsidRPr="007629B9">
              <w:rPr>
                <w:rFonts w:ascii="Arial" w:hAnsi="Arial" w:cs="Arial"/>
                <w:sz w:val="18"/>
                <w:szCs w:val="18"/>
              </w:rPr>
              <w:t>Deliverable</w:t>
            </w:r>
            <w:proofErr w:type="spellEnd"/>
            <w:r w:rsidRPr="007629B9">
              <w:rPr>
                <w:rFonts w:ascii="Arial" w:hAnsi="Arial" w:cs="Arial"/>
                <w:sz w:val="18"/>
                <w:szCs w:val="18"/>
              </w:rPr>
              <w:t xml:space="preserve"> (</w:t>
            </w:r>
            <w:proofErr w:type="spellStart"/>
            <w:r w:rsidRPr="007629B9">
              <w:rPr>
                <w:rFonts w:ascii="Arial" w:hAnsi="Arial" w:cs="Arial"/>
                <w:sz w:val="18"/>
                <w:szCs w:val="18"/>
              </w:rPr>
              <w:t>As</w:t>
            </w:r>
            <w:proofErr w:type="spellEnd"/>
            <w:r w:rsidRPr="007629B9">
              <w:rPr>
                <w:rFonts w:ascii="Arial" w:hAnsi="Arial" w:cs="Arial"/>
                <w:sz w:val="18"/>
                <w:szCs w:val="18"/>
              </w:rPr>
              <w:t xml:space="preserve"> </w:t>
            </w:r>
            <w:proofErr w:type="spellStart"/>
            <w:r w:rsidRPr="007629B9">
              <w:rPr>
                <w:rFonts w:ascii="Arial" w:hAnsi="Arial" w:cs="Arial"/>
                <w:sz w:val="18"/>
                <w:szCs w:val="18"/>
              </w:rPr>
              <w:t>built</w:t>
            </w:r>
            <w:proofErr w:type="spellEnd"/>
            <w:r w:rsidRPr="007629B9">
              <w:rPr>
                <w:rFonts w:ascii="Arial" w:hAnsi="Arial" w:cs="Arial"/>
                <w:sz w:val="18"/>
                <w:szCs w:val="18"/>
              </w:rPr>
              <w:t xml:space="preserve"> </w:t>
            </w:r>
            <w:proofErr w:type="spellStart"/>
            <w:r w:rsidRPr="007629B9">
              <w:rPr>
                <w:rFonts w:ascii="Arial" w:hAnsi="Arial" w:cs="Arial"/>
                <w:sz w:val="18"/>
                <w:szCs w:val="18"/>
              </w:rPr>
              <w:t>folders</w:t>
            </w:r>
            <w:proofErr w:type="spellEnd"/>
            <w:r w:rsidRPr="007629B9">
              <w:rPr>
                <w:rFonts w:ascii="Arial" w:hAnsi="Arial" w:cs="Arial"/>
                <w:sz w:val="18"/>
                <w:szCs w:val="18"/>
              </w:rPr>
              <w:t xml:space="preserve">) &amp; </w:t>
            </w:r>
            <w:proofErr w:type="spellStart"/>
            <w:r w:rsidRPr="007629B9">
              <w:rPr>
                <w:rFonts w:ascii="Arial" w:hAnsi="Arial" w:cs="Arial"/>
                <w:sz w:val="18"/>
                <w:szCs w:val="18"/>
              </w:rPr>
              <w:t>Equipment</w:t>
            </w:r>
            <w:proofErr w:type="spellEnd"/>
            <w:r w:rsidRPr="007629B9">
              <w:rPr>
                <w:rFonts w:ascii="Arial" w:hAnsi="Arial" w:cs="Arial"/>
                <w:sz w:val="18"/>
                <w:szCs w:val="18"/>
              </w:rPr>
              <w:t xml:space="preserve"> </w:t>
            </w:r>
            <w:proofErr w:type="spellStart"/>
            <w:r w:rsidRPr="007629B9">
              <w:rPr>
                <w:rFonts w:ascii="Arial" w:hAnsi="Arial" w:cs="Arial"/>
                <w:sz w:val="18"/>
                <w:szCs w:val="18"/>
              </w:rPr>
              <w:t>Acceptance</w:t>
            </w:r>
            <w:proofErr w:type="spellEnd"/>
            <w:r w:rsidRPr="007629B9">
              <w:rPr>
                <w:rFonts w:ascii="Arial" w:hAnsi="Arial" w:cs="Arial"/>
                <w:sz w:val="18"/>
                <w:szCs w:val="18"/>
              </w:rPr>
              <w:br/>
              <w:t xml:space="preserve">· SAP/SES </w:t>
            </w:r>
            <w:proofErr w:type="spellStart"/>
            <w:r w:rsidRPr="007629B9">
              <w:rPr>
                <w:rFonts w:ascii="Arial" w:hAnsi="Arial" w:cs="Arial"/>
                <w:sz w:val="18"/>
                <w:szCs w:val="18"/>
              </w:rPr>
              <w:t>approvals</w:t>
            </w:r>
            <w:proofErr w:type="spellEnd"/>
            <w:r w:rsidRPr="007629B9">
              <w:rPr>
                <w:rFonts w:ascii="Arial" w:hAnsi="Arial" w:cs="Arial"/>
                <w:sz w:val="18"/>
                <w:szCs w:val="18"/>
              </w:rPr>
              <w:br/>
              <w:t>· Επίλυση θεμάτων τιμολόγησης</w:t>
            </w:r>
          </w:p>
        </w:tc>
        <w:tc>
          <w:tcPr>
            <w:tcW w:w="1134"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12,00</w:t>
            </w:r>
          </w:p>
        </w:tc>
        <w:tc>
          <w:tcPr>
            <w:tcW w:w="1026"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2235" w:type="dxa"/>
            <w:tcBorders>
              <w:top w:val="nil"/>
              <w:left w:val="nil"/>
              <w:bottom w:val="single" w:sz="4" w:space="0" w:color="auto"/>
              <w:right w:val="single" w:sz="4" w:space="0" w:color="auto"/>
            </w:tcBorders>
            <w:shd w:val="clear" w:color="000000" w:fill="auto"/>
            <w:vAlign w:val="center"/>
            <w:hideMark/>
          </w:tcPr>
          <w:p w:rsidR="00C55104" w:rsidRPr="007629B9" w:rsidRDefault="00C55104">
            <w:pPr>
              <w:rPr>
                <w:rFonts w:ascii="Arial" w:hAnsi="Arial" w:cs="Arial"/>
                <w:sz w:val="18"/>
                <w:szCs w:val="18"/>
              </w:rPr>
            </w:pPr>
            <w:r w:rsidRPr="007629B9">
              <w:rPr>
                <w:rFonts w:ascii="Arial" w:hAnsi="Arial" w:cs="Arial"/>
                <w:sz w:val="18"/>
                <w:szCs w:val="18"/>
              </w:rPr>
              <w:t> </w:t>
            </w:r>
          </w:p>
        </w:tc>
        <w:tc>
          <w:tcPr>
            <w:tcW w:w="1122" w:type="dxa"/>
            <w:tcBorders>
              <w:top w:val="nil"/>
              <w:left w:val="nil"/>
              <w:bottom w:val="single" w:sz="4" w:space="0" w:color="auto"/>
              <w:right w:val="single" w:sz="8" w:space="0" w:color="auto"/>
            </w:tcBorders>
            <w:shd w:val="clear" w:color="000000" w:fill="auto"/>
            <w:vAlign w:val="center"/>
            <w:hideMark/>
          </w:tcPr>
          <w:p w:rsidR="00C55104" w:rsidRPr="007629B9" w:rsidRDefault="00C55104">
            <w:pPr>
              <w:rPr>
                <w:rFonts w:ascii="Arial" w:hAnsi="Arial" w:cs="Arial"/>
                <w:sz w:val="18"/>
                <w:szCs w:val="18"/>
              </w:rPr>
            </w:pPr>
            <w:r w:rsidRPr="007629B9">
              <w:rPr>
                <w:rFonts w:ascii="Arial" w:hAnsi="Arial" w:cs="Arial"/>
                <w:sz w:val="18"/>
                <w:szCs w:val="18"/>
              </w:rPr>
              <w:t> </w:t>
            </w:r>
          </w:p>
        </w:tc>
      </w:tr>
      <w:tr w:rsidR="00C55104" w:rsidRPr="007629B9" w:rsidTr="008E6D43">
        <w:trPr>
          <w:trHeight w:val="255"/>
        </w:trPr>
        <w:tc>
          <w:tcPr>
            <w:tcW w:w="4528" w:type="dxa"/>
            <w:tcBorders>
              <w:top w:val="nil"/>
              <w:left w:val="single" w:sz="8" w:space="0" w:color="auto"/>
              <w:bottom w:val="single" w:sz="4" w:space="0" w:color="auto"/>
              <w:right w:val="nil"/>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xml:space="preserve">Σύνολο Κόστους εργασίας </w:t>
            </w:r>
          </w:p>
        </w:tc>
        <w:tc>
          <w:tcPr>
            <w:tcW w:w="1134" w:type="dxa"/>
            <w:tcBorders>
              <w:top w:val="nil"/>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026" w:type="dxa"/>
            <w:tcBorders>
              <w:top w:val="nil"/>
              <w:left w:val="nil"/>
              <w:bottom w:val="single" w:sz="4" w:space="0" w:color="auto"/>
              <w:right w:val="nil"/>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2235" w:type="dxa"/>
            <w:tcBorders>
              <w:top w:val="nil"/>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122"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8E6D43">
        <w:trPr>
          <w:trHeight w:val="255"/>
        </w:trPr>
        <w:tc>
          <w:tcPr>
            <w:tcW w:w="4528"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ΛΟΙΠΕΣ ΛΕΙΤΟΥΡΓ. ΔΑΠΑΝΕΣ (επί </w:t>
            </w:r>
            <w:proofErr w:type="spellStart"/>
            <w:r w:rsidRPr="007629B9">
              <w:rPr>
                <w:rFonts w:ascii="Arial" w:hAnsi="Arial" w:cs="Arial"/>
                <w:color w:val="000000"/>
                <w:sz w:val="18"/>
                <w:szCs w:val="18"/>
              </w:rPr>
              <w:t>Δαπ.Μισθοδοσίας</w:t>
            </w:r>
            <w:proofErr w:type="spellEnd"/>
            <w:r w:rsidRPr="007629B9">
              <w:rPr>
                <w:rFonts w:ascii="Arial" w:hAnsi="Arial" w:cs="Arial"/>
                <w:color w:val="000000"/>
                <w:sz w:val="18"/>
                <w:szCs w:val="18"/>
              </w:rPr>
              <w:t xml:space="preserve"> Προσωπικού)</w:t>
            </w:r>
          </w:p>
        </w:tc>
        <w:tc>
          <w:tcPr>
            <w:tcW w:w="1134" w:type="dxa"/>
            <w:tcBorders>
              <w:top w:val="nil"/>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26" w:type="dxa"/>
            <w:tcBorders>
              <w:top w:val="nil"/>
              <w:left w:val="nil"/>
              <w:bottom w:val="single" w:sz="4" w:space="0" w:color="auto"/>
              <w:right w:val="nil"/>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tcBorders>
              <w:top w:val="nil"/>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55"/>
        </w:trPr>
        <w:tc>
          <w:tcPr>
            <w:tcW w:w="4528"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26" w:type="dxa"/>
            <w:tcBorders>
              <w:top w:val="nil"/>
              <w:left w:val="nil"/>
              <w:bottom w:val="single" w:sz="4" w:space="0" w:color="auto"/>
              <w:right w:val="nil"/>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tcBorders>
              <w:top w:val="nil"/>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55"/>
        </w:trPr>
        <w:tc>
          <w:tcPr>
            <w:tcW w:w="4528" w:type="dxa"/>
            <w:tcBorders>
              <w:top w:val="nil"/>
              <w:left w:val="single" w:sz="8" w:space="0" w:color="auto"/>
              <w:bottom w:val="single" w:sz="4" w:space="0" w:color="auto"/>
              <w:right w:val="single" w:sz="4" w:space="0" w:color="auto"/>
            </w:tcBorders>
            <w:shd w:val="clear" w:color="000000" w:fill="auto"/>
            <w:hideMark/>
          </w:tcPr>
          <w:p w:rsidR="00C55104" w:rsidRPr="007629B9" w:rsidRDefault="00C55104">
            <w:pPr>
              <w:jc w:val="right"/>
              <w:rPr>
                <w:rFonts w:ascii="Arial" w:hAnsi="Arial" w:cs="Arial"/>
                <w:b/>
                <w:bCs/>
                <w:color w:val="000000"/>
                <w:sz w:val="18"/>
                <w:szCs w:val="18"/>
              </w:rPr>
            </w:pPr>
            <w:r w:rsidRPr="007629B9">
              <w:rPr>
                <w:rFonts w:ascii="Arial" w:hAnsi="Arial" w:cs="Arial"/>
                <w:b/>
                <w:bCs/>
                <w:color w:val="000000"/>
                <w:sz w:val="18"/>
                <w:szCs w:val="18"/>
              </w:rPr>
              <w:t xml:space="preserve">ΜΕΡΙΚΟ ΣΥΝΟΛΟ ΛΕΙΤΟΥΡΓ.ΔΑΠΑΝΩΝ € </w:t>
            </w:r>
          </w:p>
        </w:tc>
        <w:tc>
          <w:tcPr>
            <w:tcW w:w="1134" w:type="dxa"/>
            <w:tcBorders>
              <w:top w:val="nil"/>
              <w:left w:val="nil"/>
              <w:bottom w:val="single" w:sz="4" w:space="0" w:color="auto"/>
              <w:right w:val="single" w:sz="4" w:space="0" w:color="auto"/>
            </w:tcBorders>
            <w:shd w:val="clear" w:color="000000" w:fill="FFFFFF"/>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 </w:t>
            </w:r>
          </w:p>
        </w:tc>
        <w:tc>
          <w:tcPr>
            <w:tcW w:w="1026" w:type="dxa"/>
            <w:tcBorders>
              <w:top w:val="nil"/>
              <w:left w:val="nil"/>
              <w:bottom w:val="single" w:sz="4" w:space="0" w:color="auto"/>
              <w:right w:val="nil"/>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2235" w:type="dxa"/>
            <w:tcBorders>
              <w:top w:val="nil"/>
              <w:left w:val="single" w:sz="4" w:space="0" w:color="auto"/>
              <w:bottom w:val="single" w:sz="4" w:space="0" w:color="auto"/>
              <w:right w:val="single" w:sz="4"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c>
          <w:tcPr>
            <w:tcW w:w="1122" w:type="dxa"/>
            <w:tcBorders>
              <w:top w:val="nil"/>
              <w:left w:val="nil"/>
              <w:bottom w:val="single" w:sz="4" w:space="0" w:color="auto"/>
              <w:right w:val="single" w:sz="8" w:space="0" w:color="auto"/>
            </w:tcBorders>
            <w:shd w:val="clear" w:color="000000" w:fill="auto"/>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 </w:t>
            </w:r>
          </w:p>
        </w:tc>
      </w:tr>
      <w:tr w:rsidR="00C55104" w:rsidRPr="007629B9" w:rsidTr="008E6D43">
        <w:trPr>
          <w:trHeight w:val="270"/>
        </w:trPr>
        <w:tc>
          <w:tcPr>
            <w:tcW w:w="4528" w:type="dxa"/>
            <w:tcBorders>
              <w:top w:val="nil"/>
              <w:left w:val="single" w:sz="8" w:space="0" w:color="auto"/>
              <w:bottom w:val="single" w:sz="8" w:space="0" w:color="auto"/>
              <w:right w:val="single" w:sz="4" w:space="0" w:color="auto"/>
            </w:tcBorders>
            <w:shd w:val="clear" w:color="000000" w:fill="auto"/>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ΚΟΣΤΟΣ ΚΕΦΑΛΑΙΟΥ (% επί </w:t>
            </w:r>
            <w:proofErr w:type="spellStart"/>
            <w:r w:rsidRPr="007629B9">
              <w:rPr>
                <w:rFonts w:ascii="Arial" w:hAnsi="Arial" w:cs="Arial"/>
                <w:color w:val="000000"/>
                <w:sz w:val="18"/>
                <w:szCs w:val="18"/>
              </w:rPr>
              <w:t>Λειτ.Δαπανών</w:t>
            </w:r>
            <w:proofErr w:type="spellEnd"/>
            <w:r w:rsidRPr="007629B9">
              <w:rPr>
                <w:rFonts w:ascii="Arial" w:hAnsi="Arial" w:cs="Arial"/>
                <w:color w:val="000000"/>
                <w:sz w:val="18"/>
                <w:szCs w:val="18"/>
              </w:rPr>
              <w:t>)</w:t>
            </w:r>
          </w:p>
        </w:tc>
        <w:tc>
          <w:tcPr>
            <w:tcW w:w="1134" w:type="dxa"/>
            <w:tcBorders>
              <w:top w:val="nil"/>
              <w:left w:val="nil"/>
              <w:bottom w:val="single" w:sz="8" w:space="0" w:color="auto"/>
              <w:right w:val="single" w:sz="4" w:space="0" w:color="auto"/>
            </w:tcBorders>
            <w:shd w:val="clear" w:color="000000" w:fill="auto"/>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c>
          <w:tcPr>
            <w:tcW w:w="1026" w:type="dxa"/>
            <w:tcBorders>
              <w:top w:val="nil"/>
              <w:left w:val="nil"/>
              <w:bottom w:val="single" w:sz="8" w:space="0" w:color="auto"/>
              <w:right w:val="nil"/>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2235" w:type="dxa"/>
            <w:tcBorders>
              <w:top w:val="nil"/>
              <w:left w:val="single" w:sz="4" w:space="0" w:color="auto"/>
              <w:bottom w:val="single" w:sz="8" w:space="0" w:color="auto"/>
              <w:right w:val="single" w:sz="4"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c>
          <w:tcPr>
            <w:tcW w:w="1122" w:type="dxa"/>
            <w:tcBorders>
              <w:top w:val="nil"/>
              <w:left w:val="nil"/>
              <w:bottom w:val="single" w:sz="8" w:space="0" w:color="auto"/>
              <w:right w:val="single" w:sz="8" w:space="0" w:color="auto"/>
            </w:tcBorders>
            <w:shd w:val="clear" w:color="000000" w:fill="auto"/>
            <w:noWrap/>
            <w:vAlign w:val="bottom"/>
            <w:hideMark/>
          </w:tcPr>
          <w:p w:rsidR="00C55104" w:rsidRPr="007629B9" w:rsidRDefault="00C55104">
            <w:pPr>
              <w:jc w:val="right"/>
              <w:rPr>
                <w:rFonts w:ascii="Arial" w:hAnsi="Arial" w:cs="Arial"/>
                <w:sz w:val="18"/>
                <w:szCs w:val="18"/>
              </w:rPr>
            </w:pPr>
            <w:r w:rsidRPr="007629B9">
              <w:rPr>
                <w:rFonts w:ascii="Arial" w:hAnsi="Arial" w:cs="Arial"/>
                <w:sz w:val="18"/>
                <w:szCs w:val="18"/>
              </w:rPr>
              <w:t> </w:t>
            </w:r>
          </w:p>
        </w:tc>
      </w:tr>
      <w:tr w:rsidR="00C55104" w:rsidRPr="007629B9" w:rsidTr="008E6D43">
        <w:trPr>
          <w:trHeight w:val="270"/>
        </w:trPr>
        <w:tc>
          <w:tcPr>
            <w:tcW w:w="4528" w:type="dxa"/>
            <w:tcBorders>
              <w:top w:val="nil"/>
              <w:left w:val="single" w:sz="8" w:space="0" w:color="auto"/>
              <w:bottom w:val="single" w:sz="8"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xml:space="preserve">ΣΥΝΟΛΟ ΚΟΣΤΟΥΣ  € </w:t>
            </w:r>
          </w:p>
        </w:tc>
        <w:tc>
          <w:tcPr>
            <w:tcW w:w="1134" w:type="dxa"/>
            <w:tcBorders>
              <w:top w:val="nil"/>
              <w:left w:val="nil"/>
              <w:bottom w:val="single" w:sz="8" w:space="0" w:color="auto"/>
              <w:right w:val="single" w:sz="4" w:space="0" w:color="auto"/>
            </w:tcBorders>
            <w:shd w:val="clear" w:color="000000" w:fill="D9D9D9"/>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 </w:t>
            </w:r>
          </w:p>
        </w:tc>
        <w:tc>
          <w:tcPr>
            <w:tcW w:w="1026" w:type="dxa"/>
            <w:tcBorders>
              <w:top w:val="nil"/>
              <w:left w:val="nil"/>
              <w:bottom w:val="single" w:sz="8" w:space="0" w:color="auto"/>
              <w:right w:val="single" w:sz="8" w:space="0" w:color="auto"/>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684,54</w:t>
            </w:r>
          </w:p>
        </w:tc>
        <w:tc>
          <w:tcPr>
            <w:tcW w:w="2235" w:type="dxa"/>
            <w:tcBorders>
              <w:top w:val="nil"/>
              <w:left w:val="single" w:sz="4" w:space="0" w:color="auto"/>
              <w:bottom w:val="single" w:sz="8" w:space="0" w:color="auto"/>
              <w:right w:val="single" w:sz="8" w:space="0" w:color="auto"/>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684,54</w:t>
            </w:r>
          </w:p>
        </w:tc>
        <w:tc>
          <w:tcPr>
            <w:tcW w:w="1122" w:type="dxa"/>
            <w:tcBorders>
              <w:top w:val="nil"/>
              <w:left w:val="single" w:sz="4" w:space="0" w:color="auto"/>
              <w:bottom w:val="single" w:sz="8" w:space="0" w:color="auto"/>
              <w:right w:val="single" w:sz="8" w:space="0" w:color="auto"/>
            </w:tcBorders>
            <w:shd w:val="clear" w:color="000000" w:fill="D9D9D9"/>
            <w:noWrap/>
            <w:vAlign w:val="bottom"/>
            <w:hideMark/>
          </w:tcPr>
          <w:p w:rsidR="00C55104" w:rsidRPr="007629B9" w:rsidRDefault="00C55104">
            <w:pPr>
              <w:jc w:val="right"/>
              <w:rPr>
                <w:rFonts w:ascii="Arial" w:hAnsi="Arial" w:cs="Arial"/>
                <w:b/>
                <w:bCs/>
                <w:sz w:val="18"/>
                <w:szCs w:val="18"/>
              </w:rPr>
            </w:pPr>
            <w:r w:rsidRPr="007629B9">
              <w:rPr>
                <w:rFonts w:ascii="Arial" w:hAnsi="Arial" w:cs="Arial"/>
                <w:b/>
                <w:bCs/>
                <w:sz w:val="18"/>
                <w:szCs w:val="18"/>
              </w:rPr>
              <w:t>684,54</w:t>
            </w:r>
          </w:p>
        </w:tc>
      </w:tr>
    </w:tbl>
    <w:p w:rsidR="00C55104" w:rsidRPr="007629B9" w:rsidRDefault="00C55104">
      <w:pPr>
        <w:rPr>
          <w:rFonts w:ascii="Arial" w:hAnsi="Arial" w:cs="Arial"/>
          <w:b/>
          <w:bCs/>
          <w:sz w:val="18"/>
          <w:szCs w:val="18"/>
        </w:rPr>
      </w:pPr>
    </w:p>
    <w:p w:rsidR="00C55104" w:rsidRPr="007629B9" w:rsidRDefault="00C55104">
      <w:pPr>
        <w:rPr>
          <w:rFonts w:ascii="Arial" w:hAnsi="Arial" w:cs="Arial"/>
          <w:b/>
          <w:bCs/>
          <w:sz w:val="18"/>
          <w:szCs w:val="18"/>
        </w:rPr>
      </w:pPr>
    </w:p>
    <w:p w:rsidR="00F71D9A" w:rsidRPr="007629B9" w:rsidRDefault="00F71D9A">
      <w:pPr>
        <w:rPr>
          <w:rFonts w:ascii="Arial" w:hAnsi="Arial" w:cs="Arial"/>
          <w:b/>
          <w:bCs/>
          <w:sz w:val="18"/>
          <w:szCs w:val="18"/>
        </w:rPr>
      </w:pPr>
    </w:p>
    <w:tbl>
      <w:tblPr>
        <w:tblW w:w="9924" w:type="dxa"/>
        <w:tblInd w:w="-436" w:type="dxa"/>
        <w:tblLook w:val="04A0" w:firstRow="1" w:lastRow="0" w:firstColumn="1" w:lastColumn="0" w:noHBand="0" w:noVBand="1"/>
      </w:tblPr>
      <w:tblGrid>
        <w:gridCol w:w="7885"/>
        <w:gridCol w:w="2039"/>
      </w:tblGrid>
      <w:tr w:rsidR="00C55104" w:rsidRPr="007629B9" w:rsidTr="008E6D43">
        <w:trPr>
          <w:trHeight w:val="555"/>
        </w:trPr>
        <w:tc>
          <w:tcPr>
            <w:tcW w:w="9924"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rsidR="00C55104" w:rsidRPr="007629B9" w:rsidRDefault="00C55104">
            <w:pPr>
              <w:jc w:val="center"/>
              <w:rPr>
                <w:rFonts w:ascii="Arial" w:hAnsi="Arial" w:cs="Arial"/>
                <w:b/>
                <w:bCs/>
                <w:sz w:val="18"/>
                <w:szCs w:val="18"/>
              </w:rPr>
            </w:pPr>
            <w:r w:rsidRPr="007629B9">
              <w:rPr>
                <w:rFonts w:ascii="Arial" w:hAnsi="Arial" w:cs="Arial"/>
                <w:b/>
                <w:bCs/>
                <w:sz w:val="18"/>
                <w:szCs w:val="18"/>
              </w:rPr>
              <w:t>ΣΥΝΟΠΤΙΚΟΣ ΠΙΝΑΚΑΣ ΤΕΛΩΝ ETHERNET</w:t>
            </w:r>
          </w:p>
        </w:tc>
      </w:tr>
      <w:tr w:rsidR="00C55104" w:rsidRPr="007629B9" w:rsidTr="008E6D43">
        <w:trPr>
          <w:trHeight w:val="300"/>
        </w:trPr>
        <w:tc>
          <w:tcPr>
            <w:tcW w:w="7885" w:type="dxa"/>
            <w:tcBorders>
              <w:top w:val="nil"/>
              <w:left w:val="nil"/>
              <w:bottom w:val="nil"/>
              <w:right w:val="nil"/>
            </w:tcBorders>
            <w:shd w:val="clear" w:color="000000" w:fill="auto"/>
            <w:noWrap/>
            <w:vAlign w:val="bottom"/>
            <w:hideMark/>
          </w:tcPr>
          <w:p w:rsidR="00C55104" w:rsidRPr="007629B9" w:rsidRDefault="00C55104">
            <w:pPr>
              <w:jc w:val="center"/>
              <w:rPr>
                <w:rFonts w:ascii="Arial" w:hAnsi="Arial" w:cs="Arial"/>
                <w:b/>
                <w:bCs/>
                <w:sz w:val="18"/>
                <w:szCs w:val="18"/>
              </w:rPr>
            </w:pPr>
          </w:p>
        </w:tc>
        <w:tc>
          <w:tcPr>
            <w:tcW w:w="2039"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r>
      <w:tr w:rsidR="00C55104" w:rsidRPr="007629B9" w:rsidTr="008E6D43">
        <w:trPr>
          <w:trHeight w:val="300"/>
        </w:trPr>
        <w:tc>
          <w:tcPr>
            <w:tcW w:w="78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 xml:space="preserve"> </w:t>
            </w:r>
          </w:p>
        </w:tc>
        <w:tc>
          <w:tcPr>
            <w:tcW w:w="2039" w:type="dxa"/>
            <w:tcBorders>
              <w:top w:val="single" w:sz="4" w:space="0" w:color="auto"/>
              <w:left w:val="nil"/>
              <w:bottom w:val="single" w:sz="4" w:space="0" w:color="auto"/>
              <w:right w:val="single" w:sz="4" w:space="0" w:color="auto"/>
            </w:tcBorders>
            <w:shd w:val="clear" w:color="000000" w:fill="ACB9CA"/>
            <w:noWrap/>
            <w:vAlign w:val="center"/>
            <w:hideMark/>
          </w:tcPr>
          <w:p w:rsidR="00C55104" w:rsidRPr="007629B9" w:rsidRDefault="00C55104">
            <w:pPr>
              <w:jc w:val="center"/>
              <w:rPr>
                <w:rFonts w:ascii="Arial" w:hAnsi="Arial" w:cs="Arial"/>
                <w:b/>
                <w:bCs/>
                <w:color w:val="000000"/>
                <w:sz w:val="18"/>
                <w:szCs w:val="18"/>
              </w:rPr>
            </w:pPr>
            <w:r w:rsidRPr="007629B9">
              <w:rPr>
                <w:rFonts w:ascii="Arial" w:hAnsi="Arial" w:cs="Arial"/>
                <w:b/>
                <w:bCs/>
                <w:color w:val="000000"/>
                <w:sz w:val="18"/>
                <w:szCs w:val="18"/>
              </w:rPr>
              <w:t>Εφάπαξ €</w:t>
            </w:r>
          </w:p>
        </w:tc>
      </w:tr>
      <w:tr w:rsidR="00C55104" w:rsidRPr="007629B9" w:rsidTr="008E6D43">
        <w:trPr>
          <w:trHeight w:val="315"/>
        </w:trPr>
        <w:tc>
          <w:tcPr>
            <w:tcW w:w="7885" w:type="dxa"/>
            <w:tcBorders>
              <w:top w:val="nil"/>
              <w:left w:val="single" w:sz="4" w:space="0" w:color="auto"/>
              <w:bottom w:val="single" w:sz="4" w:space="0" w:color="auto"/>
              <w:right w:val="single" w:sz="4" w:space="0" w:color="auto"/>
            </w:tcBorders>
            <w:shd w:val="clear" w:color="000000" w:fill="D9D9D9"/>
            <w:vAlign w:val="center"/>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ΠΡΟΜΕΛΕΤΗ</w:t>
            </w:r>
          </w:p>
        </w:tc>
        <w:tc>
          <w:tcPr>
            <w:tcW w:w="2039" w:type="dxa"/>
            <w:tcBorders>
              <w:top w:val="nil"/>
              <w:left w:val="nil"/>
              <w:bottom w:val="single" w:sz="4" w:space="0" w:color="auto"/>
              <w:right w:val="single" w:sz="4" w:space="0" w:color="auto"/>
            </w:tcBorders>
            <w:shd w:val="clear" w:color="000000" w:fill="D9D9D9"/>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r>
      <w:tr w:rsidR="00C55104" w:rsidRPr="007629B9" w:rsidTr="008E6D43">
        <w:trPr>
          <w:trHeight w:val="63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Τέλος Απόρριψης Εκπόνησης Τεχνικής Προμελέτης Οπτικής Πρόσβασης </w:t>
            </w:r>
            <w:proofErr w:type="spellStart"/>
            <w:r w:rsidRPr="007629B9">
              <w:rPr>
                <w:rFonts w:ascii="Arial" w:hAnsi="Arial" w:cs="Arial"/>
                <w:color w:val="000000"/>
                <w:sz w:val="18"/>
                <w:szCs w:val="18"/>
              </w:rPr>
              <w:t>Ethernet</w:t>
            </w:r>
            <w:proofErr w:type="spellEnd"/>
            <w:r w:rsidRPr="007629B9">
              <w:rPr>
                <w:rFonts w:ascii="Arial" w:hAnsi="Arial" w:cs="Arial"/>
                <w:color w:val="000000"/>
                <w:sz w:val="18"/>
                <w:szCs w:val="18"/>
              </w:rPr>
              <w:t xml:space="preserve"> (οπτική ίνα έως 1Gbps) </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429,75 </w:t>
            </w:r>
          </w:p>
        </w:tc>
      </w:tr>
      <w:tr w:rsidR="00C55104" w:rsidRPr="007629B9" w:rsidTr="008E6D43">
        <w:trPr>
          <w:trHeight w:val="69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Τέλος Απόρριψης Εκπόνησης Τεχνικής Προμελέτης Ασύρματης Πρόσβασης </w:t>
            </w:r>
            <w:proofErr w:type="spellStart"/>
            <w:r w:rsidRPr="007629B9">
              <w:rPr>
                <w:rFonts w:ascii="Arial" w:hAnsi="Arial" w:cs="Arial"/>
                <w:color w:val="000000"/>
                <w:sz w:val="18"/>
                <w:szCs w:val="18"/>
              </w:rPr>
              <w:t>Ethernet</w:t>
            </w:r>
            <w:proofErr w:type="spellEnd"/>
            <w:r w:rsidRPr="007629B9">
              <w:rPr>
                <w:rFonts w:ascii="Arial" w:hAnsi="Arial" w:cs="Arial"/>
                <w:color w:val="000000"/>
                <w:sz w:val="18"/>
                <w:szCs w:val="18"/>
              </w:rPr>
              <w:t xml:space="preserve"> (έως 1Gbps, Μετακινήσεις ξηράς μέχρι 200km - Ζώνη 1)</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461,60 </w:t>
            </w:r>
          </w:p>
        </w:tc>
      </w:tr>
      <w:tr w:rsidR="00C55104" w:rsidRPr="007629B9" w:rsidTr="008E6D43">
        <w:trPr>
          <w:trHeight w:val="69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Τέλος Απόρριψης Εκπόνησης Τεχνικής Προμελέτης Ασύρματης Πρόσβασης </w:t>
            </w:r>
            <w:proofErr w:type="spellStart"/>
            <w:r w:rsidRPr="007629B9">
              <w:rPr>
                <w:rFonts w:ascii="Arial" w:hAnsi="Arial" w:cs="Arial"/>
                <w:color w:val="000000"/>
                <w:sz w:val="18"/>
                <w:szCs w:val="18"/>
              </w:rPr>
              <w:t>Ethernet</w:t>
            </w:r>
            <w:proofErr w:type="spellEnd"/>
            <w:r w:rsidRPr="007629B9">
              <w:rPr>
                <w:rFonts w:ascii="Arial" w:hAnsi="Arial" w:cs="Arial"/>
                <w:color w:val="000000"/>
                <w:sz w:val="18"/>
                <w:szCs w:val="18"/>
              </w:rPr>
              <w:t xml:space="preserve"> (έως 1Gbps, Μετακινήσεις ξηράς πέραν των 200km, Ζώνη 2)</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1.309,27 </w:t>
            </w:r>
          </w:p>
        </w:tc>
      </w:tr>
      <w:tr w:rsidR="00C55104" w:rsidRPr="007629B9" w:rsidTr="008E6D43">
        <w:trPr>
          <w:trHeight w:val="72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Τέλος Απόρριψης Εκπόνησης Τεχνικής Προμελέτης Ασύρματης Πρόσβασης </w:t>
            </w:r>
            <w:proofErr w:type="spellStart"/>
            <w:r w:rsidRPr="007629B9">
              <w:rPr>
                <w:rFonts w:ascii="Arial" w:hAnsi="Arial" w:cs="Arial"/>
                <w:color w:val="000000"/>
                <w:sz w:val="18"/>
                <w:szCs w:val="18"/>
              </w:rPr>
              <w:t>Ethernet</w:t>
            </w:r>
            <w:proofErr w:type="spellEnd"/>
            <w:r w:rsidRPr="007629B9">
              <w:rPr>
                <w:rFonts w:ascii="Arial" w:hAnsi="Arial" w:cs="Arial"/>
                <w:color w:val="000000"/>
                <w:sz w:val="18"/>
                <w:szCs w:val="18"/>
              </w:rPr>
              <w:t xml:space="preserve"> (έως 1Gbps, Μετακινήσεις σε Νησιά, Ζώνη 3)</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1.354,68 </w:t>
            </w:r>
          </w:p>
        </w:tc>
      </w:tr>
      <w:tr w:rsidR="00C55104" w:rsidRPr="007629B9" w:rsidTr="008E6D43">
        <w:trPr>
          <w:trHeight w:val="165"/>
        </w:trPr>
        <w:tc>
          <w:tcPr>
            <w:tcW w:w="7885" w:type="dxa"/>
            <w:tcBorders>
              <w:top w:val="nil"/>
              <w:left w:val="nil"/>
              <w:bottom w:val="nil"/>
              <w:right w:val="nil"/>
            </w:tcBorders>
            <w:shd w:val="clear" w:color="000000" w:fill="auto"/>
            <w:noWrap/>
            <w:vAlign w:val="bottom"/>
            <w:hideMark/>
          </w:tcPr>
          <w:p w:rsidR="00C55104" w:rsidRPr="007629B9" w:rsidRDefault="00C55104">
            <w:pPr>
              <w:jc w:val="center"/>
              <w:rPr>
                <w:rFonts w:ascii="Arial" w:hAnsi="Arial" w:cs="Arial"/>
                <w:sz w:val="18"/>
                <w:szCs w:val="18"/>
              </w:rPr>
            </w:pPr>
          </w:p>
        </w:tc>
        <w:tc>
          <w:tcPr>
            <w:tcW w:w="2039" w:type="dxa"/>
            <w:tcBorders>
              <w:top w:val="nil"/>
              <w:left w:val="single" w:sz="4" w:space="0" w:color="auto"/>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r>
      <w:tr w:rsidR="00C55104" w:rsidRPr="007629B9" w:rsidTr="008E6D43">
        <w:trPr>
          <w:trHeight w:val="315"/>
        </w:trPr>
        <w:tc>
          <w:tcPr>
            <w:tcW w:w="78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ΕΝΕΡΓΟΠΟΙΗΣΗ</w:t>
            </w:r>
          </w:p>
        </w:tc>
        <w:tc>
          <w:tcPr>
            <w:tcW w:w="2039" w:type="dxa"/>
            <w:tcBorders>
              <w:top w:val="nil"/>
              <w:left w:val="nil"/>
              <w:bottom w:val="single" w:sz="4" w:space="0" w:color="auto"/>
              <w:right w:val="single" w:sz="4" w:space="0" w:color="auto"/>
            </w:tcBorders>
            <w:shd w:val="clear" w:color="000000" w:fill="D9D9D9"/>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r>
      <w:tr w:rsidR="00C55104" w:rsidRPr="007629B9" w:rsidTr="008E6D43">
        <w:trPr>
          <w:trHeight w:val="54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 xml:space="preserve">Τέλος Ενεργοποίησης  Ασύρματης Πρόσβασης </w:t>
            </w:r>
            <w:proofErr w:type="spellStart"/>
            <w:r w:rsidRPr="007629B9">
              <w:rPr>
                <w:rFonts w:ascii="Arial" w:hAnsi="Arial" w:cs="Arial"/>
                <w:color w:val="000000"/>
                <w:sz w:val="18"/>
                <w:szCs w:val="18"/>
              </w:rPr>
              <w:t>Ethernet</w:t>
            </w:r>
            <w:proofErr w:type="spellEnd"/>
            <w:r w:rsidRPr="007629B9">
              <w:rPr>
                <w:rFonts w:ascii="Arial" w:hAnsi="Arial" w:cs="Arial"/>
                <w:color w:val="000000"/>
                <w:sz w:val="18"/>
                <w:szCs w:val="18"/>
              </w:rPr>
              <w:t xml:space="preserve"> - 24μηνη δέσμευση (Ζώνες 1 - 3)</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684,54 </w:t>
            </w:r>
          </w:p>
        </w:tc>
      </w:tr>
      <w:tr w:rsidR="00C55104" w:rsidRPr="007629B9" w:rsidTr="008E6D43">
        <w:trPr>
          <w:trHeight w:val="270"/>
        </w:trPr>
        <w:tc>
          <w:tcPr>
            <w:tcW w:w="7885" w:type="dxa"/>
            <w:tcBorders>
              <w:top w:val="nil"/>
              <w:left w:val="nil"/>
              <w:bottom w:val="nil"/>
              <w:right w:val="nil"/>
            </w:tcBorders>
            <w:shd w:val="clear" w:color="000000" w:fill="auto"/>
            <w:noWrap/>
            <w:vAlign w:val="bottom"/>
            <w:hideMark/>
          </w:tcPr>
          <w:p w:rsidR="00C55104" w:rsidRPr="007629B9" w:rsidRDefault="00C55104">
            <w:pPr>
              <w:jc w:val="center"/>
              <w:rPr>
                <w:rFonts w:ascii="Arial" w:hAnsi="Arial" w:cs="Arial"/>
                <w:sz w:val="18"/>
                <w:szCs w:val="18"/>
              </w:rPr>
            </w:pPr>
          </w:p>
        </w:tc>
        <w:tc>
          <w:tcPr>
            <w:tcW w:w="2039" w:type="dxa"/>
            <w:tcBorders>
              <w:top w:val="nil"/>
              <w:left w:val="nil"/>
              <w:bottom w:val="nil"/>
              <w:right w:val="nil"/>
            </w:tcBorders>
            <w:shd w:val="clear" w:color="000000" w:fill="auto"/>
            <w:noWrap/>
            <w:vAlign w:val="bottom"/>
            <w:hideMark/>
          </w:tcPr>
          <w:p w:rsidR="00C55104" w:rsidRPr="007629B9" w:rsidRDefault="00C55104">
            <w:pPr>
              <w:rPr>
                <w:rFonts w:ascii="Arial" w:hAnsi="Arial" w:cs="Arial"/>
                <w:sz w:val="18"/>
                <w:szCs w:val="18"/>
              </w:rPr>
            </w:pPr>
          </w:p>
        </w:tc>
      </w:tr>
      <w:tr w:rsidR="00C55104" w:rsidRPr="007629B9" w:rsidTr="008E6D43">
        <w:trPr>
          <w:trHeight w:val="300"/>
        </w:trPr>
        <w:tc>
          <w:tcPr>
            <w:tcW w:w="78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55104" w:rsidRPr="007629B9" w:rsidRDefault="00C55104">
            <w:pPr>
              <w:rPr>
                <w:rFonts w:ascii="Arial" w:hAnsi="Arial" w:cs="Arial"/>
                <w:b/>
                <w:bCs/>
                <w:color w:val="000000"/>
                <w:sz w:val="18"/>
                <w:szCs w:val="18"/>
              </w:rPr>
            </w:pPr>
            <w:r w:rsidRPr="007629B9">
              <w:rPr>
                <w:rFonts w:ascii="Arial" w:hAnsi="Arial" w:cs="Arial"/>
                <w:b/>
                <w:bCs/>
                <w:color w:val="000000"/>
                <w:sz w:val="18"/>
                <w:szCs w:val="18"/>
              </w:rPr>
              <w:t>ΒΛΑΒΕΣ ΚΑΙ ΛΟΙΠΑ ΤΕΛΗ</w:t>
            </w:r>
          </w:p>
        </w:tc>
        <w:tc>
          <w:tcPr>
            <w:tcW w:w="2039" w:type="dxa"/>
            <w:tcBorders>
              <w:top w:val="single" w:sz="4" w:space="0" w:color="auto"/>
              <w:left w:val="nil"/>
              <w:bottom w:val="single" w:sz="4" w:space="0" w:color="auto"/>
              <w:right w:val="single" w:sz="4" w:space="0" w:color="auto"/>
            </w:tcBorders>
            <w:shd w:val="clear" w:color="000000" w:fill="D9D9D9"/>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w:t>
            </w:r>
          </w:p>
        </w:tc>
      </w:tr>
      <w:tr w:rsidR="00C55104" w:rsidRPr="007629B9" w:rsidTr="008E6D43">
        <w:trPr>
          <w:trHeight w:val="30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Άσκοπη μετάβαση για ενεργοποίηση ασύρματης πρόσβασης</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21,56 </w:t>
            </w:r>
          </w:p>
        </w:tc>
      </w:tr>
      <w:tr w:rsidR="00C55104" w:rsidRPr="007629B9" w:rsidTr="008E6D43">
        <w:trPr>
          <w:trHeight w:val="30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Άσκοπη μετάβαση για άρση βλάβης ασύρματης πρόσβασης</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127,71 </w:t>
            </w:r>
          </w:p>
        </w:tc>
      </w:tr>
      <w:tr w:rsidR="00C55104" w:rsidRPr="007629B9" w:rsidTr="008E6D43">
        <w:trPr>
          <w:trHeight w:val="300"/>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Άσκοπη απασχόληση Συνεργείου για την άρση βλάβης ασύρματης πρόσβασης</w:t>
            </w:r>
          </w:p>
        </w:tc>
        <w:tc>
          <w:tcPr>
            <w:tcW w:w="2039" w:type="dxa"/>
            <w:tcBorders>
              <w:top w:val="nil"/>
              <w:left w:val="nil"/>
              <w:bottom w:val="single" w:sz="4" w:space="0" w:color="auto"/>
              <w:right w:val="single" w:sz="4" w:space="0" w:color="auto"/>
            </w:tcBorders>
            <w:shd w:val="clear" w:color="000000" w:fill="FFFFFF"/>
            <w:noWrap/>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30,67 </w:t>
            </w:r>
          </w:p>
        </w:tc>
      </w:tr>
      <w:tr w:rsidR="00C55104" w:rsidRPr="007629B9" w:rsidTr="008E6D43">
        <w:trPr>
          <w:trHeight w:val="1275"/>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Άσκοπη μετάβαση κατά την τεχνοοικονομική προσφορά ασύρματης πρόσβασης</w:t>
            </w:r>
          </w:p>
        </w:tc>
        <w:tc>
          <w:tcPr>
            <w:tcW w:w="2039" w:type="dxa"/>
            <w:tcBorders>
              <w:top w:val="nil"/>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 50% του αντίστοιχου  τέλους Απόρριψης Εκπόνησης Τεχνικής </w:t>
            </w:r>
            <w:proofErr w:type="spellStart"/>
            <w:r w:rsidRPr="007629B9">
              <w:rPr>
                <w:rFonts w:ascii="Arial" w:hAnsi="Arial" w:cs="Arial"/>
                <w:sz w:val="18"/>
                <w:szCs w:val="18"/>
              </w:rPr>
              <w:t>Προεμέλετης</w:t>
            </w:r>
            <w:proofErr w:type="spellEnd"/>
            <w:r w:rsidRPr="007629B9">
              <w:rPr>
                <w:rFonts w:ascii="Arial" w:hAnsi="Arial" w:cs="Arial"/>
                <w:sz w:val="18"/>
                <w:szCs w:val="18"/>
              </w:rPr>
              <w:t xml:space="preserve"> Πρόσβασης </w:t>
            </w:r>
            <w:proofErr w:type="spellStart"/>
            <w:r w:rsidRPr="007629B9">
              <w:rPr>
                <w:rFonts w:ascii="Arial" w:hAnsi="Arial" w:cs="Arial"/>
                <w:sz w:val="18"/>
                <w:szCs w:val="18"/>
              </w:rPr>
              <w:t>Ethernet</w:t>
            </w:r>
            <w:proofErr w:type="spellEnd"/>
            <w:r w:rsidRPr="007629B9">
              <w:rPr>
                <w:rFonts w:ascii="Arial" w:hAnsi="Arial" w:cs="Arial"/>
                <w:sz w:val="18"/>
                <w:szCs w:val="18"/>
              </w:rPr>
              <w:t xml:space="preserve"> </w:t>
            </w:r>
          </w:p>
        </w:tc>
      </w:tr>
      <w:tr w:rsidR="00C55104" w:rsidRPr="007629B9" w:rsidTr="008E6D43">
        <w:trPr>
          <w:trHeight w:val="1275"/>
        </w:trPr>
        <w:tc>
          <w:tcPr>
            <w:tcW w:w="7885" w:type="dxa"/>
            <w:tcBorders>
              <w:top w:val="nil"/>
              <w:left w:val="single" w:sz="4" w:space="0" w:color="auto"/>
              <w:bottom w:val="single" w:sz="4" w:space="0" w:color="auto"/>
              <w:right w:val="single" w:sz="4" w:space="0" w:color="auto"/>
            </w:tcBorders>
            <w:shd w:val="clear" w:color="000000" w:fill="auto"/>
            <w:vAlign w:val="center"/>
            <w:hideMark/>
          </w:tcPr>
          <w:p w:rsidR="00C55104" w:rsidRPr="007629B9" w:rsidRDefault="00C55104">
            <w:pPr>
              <w:rPr>
                <w:rFonts w:ascii="Arial" w:hAnsi="Arial" w:cs="Arial"/>
                <w:color w:val="000000"/>
                <w:sz w:val="18"/>
                <w:szCs w:val="18"/>
              </w:rPr>
            </w:pPr>
            <w:r w:rsidRPr="007629B9">
              <w:rPr>
                <w:rFonts w:ascii="Arial" w:hAnsi="Arial" w:cs="Arial"/>
                <w:color w:val="000000"/>
                <w:sz w:val="18"/>
                <w:szCs w:val="18"/>
              </w:rPr>
              <w:t>Τέλος Ακύρωσης Αίτησης Ενεργοποίησης/Μεταβολής</w:t>
            </w:r>
          </w:p>
        </w:tc>
        <w:tc>
          <w:tcPr>
            <w:tcW w:w="2039" w:type="dxa"/>
            <w:tcBorders>
              <w:top w:val="nil"/>
              <w:left w:val="nil"/>
              <w:bottom w:val="single" w:sz="4" w:space="0" w:color="auto"/>
              <w:right w:val="single" w:sz="4" w:space="0" w:color="auto"/>
            </w:tcBorders>
            <w:shd w:val="clear" w:color="000000" w:fill="FFFFFF"/>
            <w:vAlign w:val="center"/>
            <w:hideMark/>
          </w:tcPr>
          <w:p w:rsidR="00C55104" w:rsidRPr="007629B9" w:rsidRDefault="00C55104">
            <w:pPr>
              <w:jc w:val="center"/>
              <w:rPr>
                <w:rFonts w:ascii="Arial" w:hAnsi="Arial" w:cs="Arial"/>
                <w:sz w:val="18"/>
                <w:szCs w:val="18"/>
              </w:rPr>
            </w:pPr>
            <w:r w:rsidRPr="007629B9">
              <w:rPr>
                <w:rFonts w:ascii="Arial" w:hAnsi="Arial" w:cs="Arial"/>
                <w:sz w:val="18"/>
                <w:szCs w:val="18"/>
              </w:rPr>
              <w:t xml:space="preserve"> 50% τέλους ενεργοποίησης + Τέλος Απόρριψης Εκπόνησης Τεχνικής Προμελέτης (βλ. 1.1 και 1.2) </w:t>
            </w:r>
          </w:p>
        </w:tc>
      </w:tr>
    </w:tbl>
    <w:p w:rsidR="00C55104" w:rsidRPr="007629B9" w:rsidRDefault="00C55104">
      <w:pPr>
        <w:rPr>
          <w:rFonts w:ascii="Arial" w:hAnsi="Arial" w:cs="Arial"/>
          <w:b/>
          <w:bCs/>
          <w:sz w:val="18"/>
          <w:szCs w:val="18"/>
        </w:rPr>
      </w:pPr>
    </w:p>
    <w:p w:rsidR="00C55104" w:rsidRPr="007629B9" w:rsidRDefault="00C55104">
      <w:pPr>
        <w:rPr>
          <w:rFonts w:ascii="Arial" w:hAnsi="Arial" w:cs="Arial"/>
          <w:b/>
          <w:bCs/>
          <w:sz w:val="18"/>
          <w:szCs w:val="18"/>
        </w:rPr>
      </w:pPr>
    </w:p>
    <w:p w:rsidR="00C55104" w:rsidRPr="007629B9" w:rsidRDefault="00C55104">
      <w:pPr>
        <w:rPr>
          <w:rFonts w:ascii="Arial" w:hAnsi="Arial" w:cs="Arial"/>
          <w:b/>
          <w:bCs/>
          <w:sz w:val="18"/>
          <w:szCs w:val="18"/>
        </w:rPr>
      </w:pPr>
    </w:p>
    <w:p w:rsidR="00C55104" w:rsidRPr="007629B9" w:rsidRDefault="00C55104">
      <w:pPr>
        <w:rPr>
          <w:rFonts w:ascii="Arial" w:hAnsi="Arial" w:cs="Arial"/>
        </w:rPr>
      </w:pPr>
    </w:p>
    <w:p w:rsidR="004D4871" w:rsidRPr="007629B9" w:rsidRDefault="004D4871">
      <w:pPr>
        <w:rPr>
          <w:rFonts w:ascii="Arial" w:hAnsi="Arial" w:cs="Arial"/>
        </w:rPr>
      </w:pPr>
    </w:p>
    <w:p w:rsidR="004D4871" w:rsidRPr="007629B9" w:rsidRDefault="004D4871">
      <w:pPr>
        <w:rPr>
          <w:rFonts w:ascii="Arial" w:hAnsi="Arial" w:cs="Arial"/>
        </w:rPr>
      </w:pPr>
    </w:p>
    <w:p w:rsidR="004D4871" w:rsidRPr="007629B9" w:rsidRDefault="004D4871">
      <w:pPr>
        <w:rPr>
          <w:rFonts w:ascii="Arial" w:hAnsi="Arial" w:cs="Arial"/>
        </w:rPr>
      </w:pPr>
    </w:p>
    <w:p w:rsidR="004D4871" w:rsidRPr="007629B9" w:rsidRDefault="004D4871">
      <w:pPr>
        <w:rPr>
          <w:rFonts w:ascii="Arial" w:hAnsi="Arial" w:cs="Arial"/>
          <w:b/>
        </w:rPr>
      </w:pPr>
      <w:r w:rsidRPr="007629B9">
        <w:rPr>
          <w:rFonts w:ascii="Arial" w:hAnsi="Arial" w:cs="Arial"/>
          <w:b/>
        </w:rPr>
        <w:br w:type="page"/>
      </w:r>
    </w:p>
    <w:p w:rsidR="00203BEB" w:rsidRPr="007629B9" w:rsidRDefault="00203BEB" w:rsidP="00203BEB">
      <w:pPr>
        <w:spacing w:before="120" w:after="120" w:line="276" w:lineRule="auto"/>
        <w:ind w:left="495"/>
        <w:jc w:val="both"/>
        <w:rPr>
          <w:rFonts w:ascii="Arial" w:hAnsi="Arial" w:cs="Arial"/>
          <w:b/>
        </w:rPr>
      </w:pPr>
      <w:r w:rsidRPr="007629B9">
        <w:rPr>
          <w:rFonts w:ascii="Arial" w:hAnsi="Arial" w:cs="Arial"/>
          <w:b/>
        </w:rPr>
        <w:t>Γ. ΠΡΟΣΩΡΙΝΕΣ ΤΙΜΕΣ ΤΩΝ ΥΠΟ ΡΥΘΜΙΣΗ ΠΡΟΪΟΝΤΩΝ ΚΑΙ ΥΠΗΡΕΣΙΩΝ ΤΩΝ ΑΓΟΡΩΝ ΜΓ ΧΟΝΔΡΙΚΗΣ</w:t>
      </w:r>
    </w:p>
    <w:p w:rsidR="00203BEB" w:rsidRPr="007629B9" w:rsidRDefault="004D4871" w:rsidP="00203BEB">
      <w:pPr>
        <w:spacing w:before="120" w:after="120" w:line="276" w:lineRule="auto"/>
        <w:jc w:val="both"/>
        <w:rPr>
          <w:rFonts w:ascii="Arial" w:hAnsi="Arial" w:cs="Arial"/>
        </w:rPr>
      </w:pPr>
      <w:r w:rsidRPr="007629B9">
        <w:rPr>
          <w:rFonts w:ascii="Arial" w:hAnsi="Arial" w:cs="Arial"/>
        </w:rPr>
        <w:t>Με βάση την αν</w:t>
      </w:r>
      <w:r w:rsidR="00271DD6" w:rsidRPr="007629B9">
        <w:rPr>
          <w:rFonts w:ascii="Arial" w:hAnsi="Arial" w:cs="Arial"/>
        </w:rPr>
        <w:t xml:space="preserve">ωτέρω μεθοδολογία (Α) και το μοντέλο </w:t>
      </w:r>
      <w:r w:rsidR="00271DD6" w:rsidRPr="007629B9">
        <w:rPr>
          <w:rFonts w:ascii="Arial" w:hAnsi="Arial" w:cs="Arial"/>
          <w:lang w:val="en-US"/>
        </w:rPr>
        <w:t>bottom</w:t>
      </w:r>
      <w:r w:rsidR="00271DD6" w:rsidRPr="007629B9">
        <w:rPr>
          <w:rFonts w:ascii="Arial" w:hAnsi="Arial" w:cs="Arial"/>
        </w:rPr>
        <w:t xml:space="preserve"> </w:t>
      </w:r>
      <w:r w:rsidR="00271DD6" w:rsidRPr="007629B9">
        <w:rPr>
          <w:rFonts w:ascii="Arial" w:hAnsi="Arial" w:cs="Arial"/>
          <w:lang w:val="en-US"/>
        </w:rPr>
        <w:t>up</w:t>
      </w:r>
      <w:r w:rsidR="00271DD6" w:rsidRPr="007629B9">
        <w:rPr>
          <w:rFonts w:ascii="Arial" w:hAnsi="Arial" w:cs="Arial"/>
        </w:rPr>
        <w:t xml:space="preserve"> (</w:t>
      </w:r>
      <w:r w:rsidR="00271DD6" w:rsidRPr="007629B9">
        <w:rPr>
          <w:rFonts w:ascii="Arial" w:hAnsi="Arial" w:cs="Arial"/>
          <w:lang w:val="en-US"/>
        </w:rPr>
        <w:t>B</w:t>
      </w:r>
      <w:r w:rsidR="00271DD6" w:rsidRPr="007629B9">
        <w:rPr>
          <w:rFonts w:ascii="Arial" w:hAnsi="Arial" w:cs="Arial"/>
        </w:rPr>
        <w:t>) υπολογίζονται οι ακόλουθες τιμές για τις υπηρεσίες ΜΓ χονδρικής:</w:t>
      </w:r>
    </w:p>
    <w:p w:rsidR="00271DD6" w:rsidRPr="007629B9" w:rsidRDefault="00271DD6" w:rsidP="00271DD6">
      <w:pPr>
        <w:spacing w:before="120" w:after="120" w:line="276" w:lineRule="auto"/>
        <w:ind w:left="720" w:hanging="720"/>
        <w:jc w:val="both"/>
        <w:rPr>
          <w:rFonts w:ascii="Arial" w:hAnsi="Arial" w:cs="Arial"/>
          <w:b/>
        </w:rPr>
      </w:pPr>
    </w:p>
    <w:p w:rsidR="00271DD6" w:rsidRPr="007629B9" w:rsidRDefault="00271DD6" w:rsidP="00271DD6">
      <w:pPr>
        <w:spacing w:before="120" w:after="120" w:line="276" w:lineRule="auto"/>
        <w:ind w:left="720" w:hanging="720"/>
        <w:jc w:val="both"/>
        <w:rPr>
          <w:rFonts w:ascii="Arial" w:hAnsi="Arial" w:cs="Arial"/>
        </w:rPr>
      </w:pPr>
      <w:r w:rsidRPr="007629B9">
        <w:rPr>
          <w:rFonts w:ascii="Arial" w:hAnsi="Arial" w:cs="Arial"/>
          <w:b/>
        </w:rPr>
        <w:t>Πίνακας 1</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240"/>
        <w:gridCol w:w="1200"/>
        <w:gridCol w:w="1361"/>
        <w:gridCol w:w="1361"/>
        <w:gridCol w:w="1361"/>
        <w:gridCol w:w="1361"/>
      </w:tblGrid>
      <w:tr w:rsidR="00271DD6" w:rsidRPr="007629B9" w:rsidTr="000712D9">
        <w:trPr>
          <w:trHeight w:val="540"/>
        </w:trPr>
        <w:tc>
          <w:tcPr>
            <w:tcW w:w="880" w:type="dxa"/>
            <w:vMerge w:val="restart"/>
            <w:shd w:val="clear" w:color="000000" w:fill="D9D9D9"/>
            <w:noWrap/>
            <w:textDirection w:val="btLr"/>
            <w:vAlign w:val="center"/>
            <w:hideMark/>
          </w:tcPr>
          <w:p w:rsidR="00271DD6" w:rsidRPr="007629B9" w:rsidRDefault="00271DD6" w:rsidP="000712D9">
            <w:pPr>
              <w:jc w:val="center"/>
              <w:rPr>
                <w:rFonts w:ascii="Calibri" w:hAnsi="Calibri" w:cs="Calibri"/>
                <w:b/>
                <w:bCs/>
                <w:color w:val="000000"/>
                <w:sz w:val="22"/>
                <w:szCs w:val="22"/>
              </w:rPr>
            </w:pPr>
            <w:r w:rsidRPr="007629B9">
              <w:rPr>
                <w:rFonts w:ascii="Calibri" w:hAnsi="Calibri" w:cs="Calibri"/>
                <w:b/>
                <w:bCs/>
                <w:color w:val="000000"/>
                <w:sz w:val="22"/>
                <w:szCs w:val="22"/>
              </w:rPr>
              <w:t>Κυκλώματα - EVC</w:t>
            </w:r>
          </w:p>
        </w:tc>
        <w:tc>
          <w:tcPr>
            <w:tcW w:w="1240" w:type="dxa"/>
            <w:shd w:val="clear" w:color="000000" w:fill="D9D9D9"/>
            <w:noWrap/>
            <w:vAlign w:val="center"/>
            <w:hideMark/>
          </w:tcPr>
          <w:p w:rsidR="00271DD6" w:rsidRPr="007629B9" w:rsidRDefault="00271DD6" w:rsidP="000712D9">
            <w:pPr>
              <w:jc w:val="center"/>
              <w:rPr>
                <w:rFonts w:ascii="Arial" w:hAnsi="Arial" w:cs="Arial"/>
                <w:b/>
                <w:bCs/>
                <w:sz w:val="20"/>
                <w:szCs w:val="20"/>
              </w:rPr>
            </w:pPr>
            <w:proofErr w:type="spellStart"/>
            <w:r w:rsidRPr="007629B9">
              <w:rPr>
                <w:rFonts w:ascii="Arial" w:hAnsi="Arial" w:cs="Arial"/>
                <w:b/>
                <w:bCs/>
                <w:sz w:val="20"/>
                <w:szCs w:val="20"/>
              </w:rPr>
              <w:t>Mbps</w:t>
            </w:r>
            <w:proofErr w:type="spellEnd"/>
          </w:p>
        </w:tc>
        <w:tc>
          <w:tcPr>
            <w:tcW w:w="1200" w:type="dxa"/>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Αστικά</w:t>
            </w:r>
          </w:p>
        </w:tc>
        <w:tc>
          <w:tcPr>
            <w:tcW w:w="1240" w:type="dxa"/>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Υπεραστικά Ζώνη 1</w:t>
            </w:r>
          </w:p>
        </w:tc>
        <w:tc>
          <w:tcPr>
            <w:tcW w:w="1240" w:type="dxa"/>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Υπεραστικά Ζώνη 2</w:t>
            </w:r>
          </w:p>
        </w:tc>
        <w:tc>
          <w:tcPr>
            <w:tcW w:w="1260" w:type="dxa"/>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Υπεραστικά Ζώνη 3</w:t>
            </w:r>
          </w:p>
        </w:tc>
        <w:tc>
          <w:tcPr>
            <w:tcW w:w="1240" w:type="dxa"/>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Υπεραστικά Ζώνη 4</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6,23 €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6,58 €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8,26 €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11,35 €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13,95 €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9,72 €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10,50 €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12,96 €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16,72 €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21,95 €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18,82 €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19,60 €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23,49 €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31,68 €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43,39 €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6</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18,87 €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29,40 €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34,83 €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46,64 €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63,24 €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8</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25,03 €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38,85 €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45,36 €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60,72 €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81,84 €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31,19 €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48,44 €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56,70 €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75,68 €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102,30 €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15</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46,75 €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72,66 €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85,05 €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112,64 €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151,59 €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62,15 €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96,81 €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113,40 €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135,52 €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201,81 €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25</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77,28 €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119,70 €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139,32 €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167,20 €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250,17 €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30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92,62 €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143,22 €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166,46 €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200,20 €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272,49 €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35</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107,80 €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167,02 €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194,08 €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233,20 €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295,74 €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120,45 €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190,05 €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221,70 €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265,41 €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327,36 €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45</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131,67 €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204,40 €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237,33 €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298,32 €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365,96 €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50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136,40 €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217,00 €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253,53 €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331,41 €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405,02 €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60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137,50 €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217,70 €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255,15 €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396,88 €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485,46 €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70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157,85 €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244,30 €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283,50 €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462,00 €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565,91 €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80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177,65 €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275,10 €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322,38 €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478,72 €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620,31 €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90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180,95 €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298,20 €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360,45 €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524,48 €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696,57 €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201,03 €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301,42 €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394,47 €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566,72 €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768,18 €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150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276,65 €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450,45 €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574,29 €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843,92 €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1.151,34 €</w:t>
            </w:r>
          </w:p>
        </w:tc>
      </w:tr>
      <w:tr w:rsidR="00271DD6" w:rsidRPr="007629B9" w:rsidTr="000712D9">
        <w:trPr>
          <w:trHeight w:val="300"/>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368,67 €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581,70 €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758,16 €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1.117,60 €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1.534,50 €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250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460,79 €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724,50 €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891,00 €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1.364,00 €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1.906,50 €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300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552,63 €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833,19 €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1.052,19 €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1.610,40 €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2.259,90 €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350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630,22 €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949,18 €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1.219,05 €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1.848,00 €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2.604,00 €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715,51 €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1.071,71 €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1.377,00 €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2.076,80 €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2.938,80 €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450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794,29 €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1.190,97 €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1.530,90 €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2.257,20 €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3.264,30 €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500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864,77 €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1.295,00 €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1.668,60 €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2.464,00 €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3.580,50 €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600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1.023,51 €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1.470,34 €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1.992,60 €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2.904,00 €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4.240,80 €</w:t>
            </w:r>
          </w:p>
        </w:tc>
      </w:tr>
      <w:tr w:rsidR="00271DD6" w:rsidRPr="007629B9" w:rsidTr="000712D9">
        <w:trPr>
          <w:trHeight w:val="288"/>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800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1.345,73 €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1.927,78 €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2.624,40 €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3.614,70 €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5.580,00 €</w:t>
            </w:r>
          </w:p>
        </w:tc>
      </w:tr>
      <w:tr w:rsidR="00271DD6" w:rsidRPr="007629B9" w:rsidTr="000712D9">
        <w:trPr>
          <w:trHeight w:val="300"/>
        </w:trPr>
        <w:tc>
          <w:tcPr>
            <w:tcW w:w="880" w:type="dxa"/>
            <w:vMerge/>
            <w:vAlign w:val="center"/>
            <w:hideMark/>
          </w:tcPr>
          <w:p w:rsidR="00271DD6" w:rsidRPr="007629B9" w:rsidRDefault="00271DD6" w:rsidP="000712D9">
            <w:pPr>
              <w:rPr>
                <w:rFonts w:ascii="Calibri" w:hAnsi="Calibri" w:cs="Calibri"/>
                <w:b/>
                <w:bCs/>
                <w:color w:val="000000"/>
                <w:sz w:val="22"/>
                <w:szCs w:val="22"/>
              </w:rPr>
            </w:pPr>
          </w:p>
        </w:tc>
        <w:tc>
          <w:tcPr>
            <w:tcW w:w="1240" w:type="dxa"/>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1000</w:t>
            </w:r>
          </w:p>
        </w:tc>
        <w:tc>
          <w:tcPr>
            <w:tcW w:w="120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1.658,47 €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2.368,88 €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3.199,50 €</w:t>
            </w:r>
          </w:p>
        </w:tc>
        <w:tc>
          <w:tcPr>
            <w:tcW w:w="126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4.467,02 €</w:t>
            </w:r>
          </w:p>
        </w:tc>
        <w:tc>
          <w:tcPr>
            <w:tcW w:w="1240" w:type="dxa"/>
            <w:shd w:val="clear" w:color="auto" w:fill="auto"/>
            <w:noWrap/>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6.882,00 €</w:t>
            </w:r>
          </w:p>
        </w:tc>
      </w:tr>
    </w:tbl>
    <w:p w:rsidR="00271DD6" w:rsidRPr="007629B9" w:rsidRDefault="00271DD6" w:rsidP="00271DD6">
      <w:pPr>
        <w:spacing w:before="120" w:after="120" w:line="276" w:lineRule="auto"/>
        <w:ind w:left="495"/>
        <w:jc w:val="both"/>
        <w:rPr>
          <w:rFonts w:ascii="Arial" w:hAnsi="Arial" w:cs="Arial"/>
          <w:b/>
        </w:rPr>
      </w:pPr>
    </w:p>
    <w:p w:rsidR="00271DD6" w:rsidRPr="007629B9" w:rsidRDefault="00271DD6" w:rsidP="00271DD6">
      <w:pPr>
        <w:spacing w:before="120" w:after="120" w:line="276" w:lineRule="auto"/>
        <w:ind w:left="495"/>
        <w:jc w:val="both"/>
        <w:rPr>
          <w:rFonts w:ascii="Arial" w:hAnsi="Arial" w:cs="Arial"/>
          <w:b/>
        </w:rPr>
      </w:pPr>
      <w:r w:rsidRPr="007629B9">
        <w:rPr>
          <w:rFonts w:ascii="Arial" w:hAnsi="Arial" w:cs="Arial"/>
          <w:b/>
        </w:rPr>
        <w:t>Πίνακας 2</w:t>
      </w:r>
    </w:p>
    <w:tbl>
      <w:tblPr>
        <w:tblW w:w="9629" w:type="dxa"/>
        <w:tblLook w:val="04A0" w:firstRow="1" w:lastRow="0" w:firstColumn="1" w:lastColumn="0" w:noHBand="0" w:noVBand="1"/>
      </w:tblPr>
      <w:tblGrid>
        <w:gridCol w:w="551"/>
        <w:gridCol w:w="773"/>
        <w:gridCol w:w="1248"/>
        <w:gridCol w:w="1248"/>
        <w:gridCol w:w="1273"/>
        <w:gridCol w:w="1418"/>
        <w:gridCol w:w="709"/>
        <w:gridCol w:w="1134"/>
        <w:gridCol w:w="1275"/>
      </w:tblGrid>
      <w:tr w:rsidR="00271DD6" w:rsidRPr="007629B9" w:rsidTr="000712D9">
        <w:trPr>
          <w:trHeight w:val="804"/>
        </w:trPr>
        <w:tc>
          <w:tcPr>
            <w:tcW w:w="551"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rsidR="00271DD6" w:rsidRPr="007629B9" w:rsidRDefault="00271DD6" w:rsidP="000712D9">
            <w:pPr>
              <w:jc w:val="center"/>
              <w:rPr>
                <w:rFonts w:ascii="Calibri" w:hAnsi="Calibri" w:cs="Calibri"/>
                <w:b/>
                <w:bCs/>
                <w:color w:val="000000"/>
                <w:sz w:val="22"/>
                <w:szCs w:val="22"/>
              </w:rPr>
            </w:pPr>
            <w:r w:rsidRPr="007629B9">
              <w:rPr>
                <w:rFonts w:ascii="Calibri" w:hAnsi="Calibri" w:cs="Calibri"/>
                <w:b/>
                <w:bCs/>
                <w:color w:val="000000"/>
                <w:sz w:val="22"/>
                <w:szCs w:val="22"/>
              </w:rPr>
              <w:t>Ενσύρματη Πρόσβαση</w:t>
            </w:r>
          </w:p>
        </w:tc>
        <w:tc>
          <w:tcPr>
            <w:tcW w:w="773" w:type="dxa"/>
            <w:tcBorders>
              <w:top w:val="single" w:sz="8" w:space="0" w:color="auto"/>
              <w:left w:val="nil"/>
              <w:bottom w:val="single" w:sz="8" w:space="0" w:color="auto"/>
              <w:right w:val="single" w:sz="8" w:space="0" w:color="auto"/>
            </w:tcBorders>
            <w:shd w:val="clear" w:color="000000" w:fill="D9D9D9"/>
            <w:noWrap/>
            <w:vAlign w:val="center"/>
            <w:hideMark/>
          </w:tcPr>
          <w:p w:rsidR="00271DD6" w:rsidRPr="007629B9" w:rsidRDefault="00271DD6" w:rsidP="000712D9">
            <w:pPr>
              <w:jc w:val="center"/>
              <w:rPr>
                <w:rFonts w:ascii="Arial" w:hAnsi="Arial" w:cs="Arial"/>
                <w:b/>
                <w:bCs/>
                <w:sz w:val="20"/>
                <w:szCs w:val="20"/>
              </w:rPr>
            </w:pPr>
            <w:proofErr w:type="spellStart"/>
            <w:r w:rsidRPr="007629B9">
              <w:rPr>
                <w:rFonts w:ascii="Arial" w:hAnsi="Arial" w:cs="Arial"/>
                <w:b/>
                <w:bCs/>
                <w:sz w:val="20"/>
                <w:szCs w:val="20"/>
              </w:rPr>
              <w:t>Mbps</w:t>
            </w:r>
            <w:proofErr w:type="spellEnd"/>
          </w:p>
        </w:tc>
        <w:tc>
          <w:tcPr>
            <w:tcW w:w="1248" w:type="dxa"/>
            <w:tcBorders>
              <w:top w:val="single" w:sz="8" w:space="0" w:color="auto"/>
              <w:left w:val="nil"/>
              <w:bottom w:val="single" w:sz="8" w:space="0" w:color="auto"/>
              <w:right w:val="single" w:sz="4" w:space="0" w:color="auto"/>
            </w:tcBorders>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Πρόσβαση SHDSL</w:t>
            </w:r>
          </w:p>
        </w:tc>
        <w:tc>
          <w:tcPr>
            <w:tcW w:w="1248" w:type="dxa"/>
            <w:tcBorders>
              <w:top w:val="single" w:sz="8" w:space="0" w:color="auto"/>
              <w:left w:val="nil"/>
              <w:bottom w:val="single" w:sz="8" w:space="0" w:color="auto"/>
              <w:right w:val="single" w:sz="4" w:space="0" w:color="auto"/>
            </w:tcBorders>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Οπτική Πρόσβαση</w:t>
            </w:r>
          </w:p>
        </w:tc>
        <w:tc>
          <w:tcPr>
            <w:tcW w:w="1273" w:type="dxa"/>
            <w:tcBorders>
              <w:top w:val="single" w:sz="8" w:space="0" w:color="auto"/>
              <w:left w:val="nil"/>
              <w:bottom w:val="single" w:sz="8" w:space="0" w:color="auto"/>
              <w:right w:val="single" w:sz="4" w:space="0" w:color="auto"/>
            </w:tcBorders>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Προστασία Διπλής Όδευσης</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Προστασία Διπλής Εισαγωγής</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rsidR="00271DD6" w:rsidRPr="007629B9" w:rsidRDefault="00271DD6" w:rsidP="000712D9">
            <w:pPr>
              <w:jc w:val="center"/>
              <w:rPr>
                <w:rFonts w:ascii="Calibri" w:hAnsi="Calibri" w:cs="Calibri"/>
                <w:b/>
                <w:bCs/>
                <w:color w:val="000000"/>
                <w:sz w:val="22"/>
                <w:szCs w:val="22"/>
              </w:rPr>
            </w:pPr>
            <w:r w:rsidRPr="007629B9">
              <w:rPr>
                <w:rFonts w:ascii="Calibri" w:hAnsi="Calibri" w:cs="Calibri"/>
                <w:b/>
                <w:bCs/>
                <w:color w:val="000000"/>
                <w:sz w:val="22"/>
                <w:szCs w:val="22"/>
              </w:rPr>
              <w:t>Ασύρματη Πρόσβαση</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rsidR="00271DD6" w:rsidRPr="007629B9" w:rsidRDefault="00271DD6" w:rsidP="000712D9">
            <w:pPr>
              <w:jc w:val="center"/>
              <w:rPr>
                <w:rFonts w:ascii="Arial" w:hAnsi="Arial" w:cs="Arial"/>
                <w:b/>
                <w:bCs/>
                <w:sz w:val="20"/>
                <w:szCs w:val="20"/>
              </w:rPr>
            </w:pPr>
            <w:proofErr w:type="spellStart"/>
            <w:r w:rsidRPr="007629B9">
              <w:rPr>
                <w:rFonts w:ascii="Arial" w:hAnsi="Arial" w:cs="Arial"/>
                <w:b/>
                <w:bCs/>
                <w:sz w:val="20"/>
                <w:szCs w:val="20"/>
              </w:rPr>
              <w:t>Mbps</w:t>
            </w:r>
            <w:proofErr w:type="spellEnd"/>
          </w:p>
        </w:tc>
        <w:tc>
          <w:tcPr>
            <w:tcW w:w="1275" w:type="dxa"/>
            <w:tcBorders>
              <w:top w:val="single" w:sz="8" w:space="0" w:color="auto"/>
              <w:left w:val="nil"/>
              <w:bottom w:val="single" w:sz="8" w:space="0" w:color="auto"/>
              <w:right w:val="single" w:sz="8" w:space="0" w:color="auto"/>
            </w:tcBorders>
            <w:shd w:val="clear" w:color="000000" w:fill="D9D9D9"/>
            <w:vAlign w:val="center"/>
            <w:hideMark/>
          </w:tcPr>
          <w:p w:rsidR="00271DD6" w:rsidRPr="007629B9" w:rsidRDefault="00271DD6" w:rsidP="000712D9">
            <w:pPr>
              <w:jc w:val="center"/>
              <w:rPr>
                <w:rFonts w:ascii="Arial" w:hAnsi="Arial" w:cs="Arial"/>
                <w:b/>
                <w:bCs/>
                <w:sz w:val="20"/>
                <w:szCs w:val="20"/>
              </w:rPr>
            </w:pPr>
            <w:r w:rsidRPr="007629B9">
              <w:rPr>
                <w:rFonts w:ascii="Arial" w:hAnsi="Arial" w:cs="Arial"/>
                <w:b/>
                <w:bCs/>
                <w:sz w:val="20"/>
                <w:szCs w:val="20"/>
              </w:rPr>
              <w:t>Ασύρματη Πρόσβαση</w:t>
            </w:r>
          </w:p>
        </w:tc>
      </w:tr>
      <w:tr w:rsidR="00271DD6" w:rsidRPr="007629B9" w:rsidTr="000712D9">
        <w:trPr>
          <w:trHeight w:val="288"/>
        </w:trPr>
        <w:tc>
          <w:tcPr>
            <w:tcW w:w="551"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773" w:type="dxa"/>
            <w:tcBorders>
              <w:top w:val="nil"/>
              <w:left w:val="nil"/>
              <w:bottom w:val="single" w:sz="4" w:space="0" w:color="auto"/>
              <w:right w:val="single" w:sz="8" w:space="0" w:color="auto"/>
            </w:tcBorders>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2</w:t>
            </w:r>
          </w:p>
        </w:tc>
        <w:tc>
          <w:tcPr>
            <w:tcW w:w="124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76,00 €</w:t>
            </w:r>
          </w:p>
        </w:tc>
        <w:tc>
          <w:tcPr>
            <w:tcW w:w="124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273"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1134" w:type="dxa"/>
            <w:tcBorders>
              <w:top w:val="nil"/>
              <w:left w:val="nil"/>
              <w:bottom w:val="single" w:sz="4" w:space="0" w:color="auto"/>
              <w:right w:val="single" w:sz="8" w:space="0" w:color="auto"/>
            </w:tcBorders>
            <w:shd w:val="clear" w:color="000000" w:fill="F2F2F2"/>
            <w:noWrap/>
            <w:vAlign w:val="center"/>
            <w:hideMark/>
          </w:tcPr>
          <w:p w:rsidR="00271DD6" w:rsidRPr="007629B9" w:rsidRDefault="00271DD6" w:rsidP="000712D9">
            <w:pPr>
              <w:jc w:val="center"/>
              <w:rPr>
                <w:rFonts w:ascii="Calibri" w:hAnsi="Calibri" w:cs="Calibri"/>
                <w:b/>
                <w:bCs/>
                <w:sz w:val="22"/>
                <w:szCs w:val="22"/>
              </w:rPr>
            </w:pPr>
            <w:r w:rsidRPr="007629B9">
              <w:rPr>
                <w:rFonts w:ascii="Calibri" w:hAnsi="Calibri" w:cs="Calibri"/>
                <w:b/>
                <w:bCs/>
                <w:sz w:val="22"/>
                <w:szCs w:val="22"/>
              </w:rPr>
              <w:t>1 έως 2</w:t>
            </w:r>
          </w:p>
        </w:tc>
        <w:tc>
          <w:tcPr>
            <w:tcW w:w="1275" w:type="dxa"/>
            <w:tcBorders>
              <w:top w:val="nil"/>
              <w:left w:val="nil"/>
              <w:bottom w:val="single" w:sz="4" w:space="0" w:color="auto"/>
              <w:right w:val="single" w:sz="8"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78,00 €</w:t>
            </w:r>
          </w:p>
        </w:tc>
      </w:tr>
      <w:tr w:rsidR="00271DD6" w:rsidRPr="007629B9" w:rsidTr="000712D9">
        <w:trPr>
          <w:trHeight w:val="288"/>
        </w:trPr>
        <w:tc>
          <w:tcPr>
            <w:tcW w:w="551"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773" w:type="dxa"/>
            <w:tcBorders>
              <w:top w:val="nil"/>
              <w:left w:val="nil"/>
              <w:bottom w:val="single" w:sz="4" w:space="0" w:color="auto"/>
              <w:right w:val="single" w:sz="8" w:space="0" w:color="auto"/>
            </w:tcBorders>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100,00 €</w:t>
            </w:r>
          </w:p>
        </w:tc>
        <w:tc>
          <w:tcPr>
            <w:tcW w:w="124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273"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1134" w:type="dxa"/>
            <w:vMerge w:val="restart"/>
            <w:tcBorders>
              <w:top w:val="nil"/>
              <w:left w:val="single" w:sz="8" w:space="0" w:color="auto"/>
              <w:bottom w:val="single" w:sz="4" w:space="0" w:color="000000"/>
              <w:right w:val="single" w:sz="8" w:space="0" w:color="auto"/>
            </w:tcBorders>
            <w:shd w:val="clear" w:color="000000" w:fill="F2F2F2"/>
            <w:noWrap/>
            <w:vAlign w:val="center"/>
            <w:hideMark/>
          </w:tcPr>
          <w:p w:rsidR="00271DD6" w:rsidRPr="007629B9" w:rsidRDefault="00271DD6" w:rsidP="000712D9">
            <w:pPr>
              <w:jc w:val="center"/>
              <w:rPr>
                <w:rFonts w:ascii="Calibri" w:hAnsi="Calibri" w:cs="Calibri"/>
                <w:b/>
                <w:bCs/>
                <w:sz w:val="22"/>
                <w:szCs w:val="22"/>
              </w:rPr>
            </w:pPr>
            <w:r w:rsidRPr="007629B9">
              <w:rPr>
                <w:rFonts w:ascii="Calibri" w:hAnsi="Calibri" w:cs="Calibri"/>
                <w:b/>
                <w:bCs/>
                <w:sz w:val="22"/>
                <w:szCs w:val="22"/>
              </w:rPr>
              <w:t>3 έως 100</w:t>
            </w:r>
          </w:p>
        </w:tc>
        <w:tc>
          <w:tcPr>
            <w:tcW w:w="1275"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120,00 €</w:t>
            </w:r>
          </w:p>
        </w:tc>
      </w:tr>
      <w:tr w:rsidR="00271DD6" w:rsidRPr="007629B9" w:rsidTr="000712D9">
        <w:trPr>
          <w:trHeight w:val="288"/>
        </w:trPr>
        <w:tc>
          <w:tcPr>
            <w:tcW w:w="551"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773" w:type="dxa"/>
            <w:tcBorders>
              <w:top w:val="nil"/>
              <w:left w:val="nil"/>
              <w:bottom w:val="single" w:sz="4" w:space="0" w:color="auto"/>
              <w:right w:val="single" w:sz="8" w:space="0" w:color="auto"/>
            </w:tcBorders>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100</w:t>
            </w:r>
          </w:p>
        </w:tc>
        <w:tc>
          <w:tcPr>
            <w:tcW w:w="124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24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110,00 €</w:t>
            </w:r>
          </w:p>
        </w:tc>
        <w:tc>
          <w:tcPr>
            <w:tcW w:w="1273"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65,00 €</w:t>
            </w:r>
          </w:p>
        </w:tc>
        <w:tc>
          <w:tcPr>
            <w:tcW w:w="141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52,91 €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1134" w:type="dxa"/>
            <w:vMerge/>
            <w:tcBorders>
              <w:top w:val="nil"/>
              <w:left w:val="single" w:sz="8" w:space="0" w:color="auto"/>
              <w:bottom w:val="single" w:sz="4" w:space="0" w:color="000000"/>
              <w:right w:val="single" w:sz="8" w:space="0" w:color="auto"/>
            </w:tcBorders>
            <w:vAlign w:val="center"/>
            <w:hideMark/>
          </w:tcPr>
          <w:p w:rsidR="00271DD6" w:rsidRPr="007629B9" w:rsidRDefault="00271DD6" w:rsidP="000712D9">
            <w:pPr>
              <w:rPr>
                <w:rFonts w:ascii="Calibri" w:hAnsi="Calibri" w:cs="Calibri"/>
                <w:b/>
                <w:bCs/>
                <w:sz w:val="22"/>
                <w:szCs w:val="22"/>
              </w:rPr>
            </w:pPr>
          </w:p>
        </w:tc>
        <w:tc>
          <w:tcPr>
            <w:tcW w:w="1275" w:type="dxa"/>
            <w:vMerge/>
            <w:tcBorders>
              <w:top w:val="nil"/>
              <w:left w:val="single" w:sz="8" w:space="0" w:color="auto"/>
              <w:bottom w:val="single" w:sz="4" w:space="0" w:color="000000"/>
              <w:right w:val="single" w:sz="8" w:space="0" w:color="auto"/>
            </w:tcBorders>
            <w:vAlign w:val="center"/>
            <w:hideMark/>
          </w:tcPr>
          <w:p w:rsidR="00271DD6" w:rsidRPr="007629B9" w:rsidRDefault="00271DD6" w:rsidP="000712D9">
            <w:pPr>
              <w:rPr>
                <w:rFonts w:ascii="Arial" w:hAnsi="Arial" w:cs="Arial"/>
                <w:sz w:val="20"/>
                <w:szCs w:val="20"/>
              </w:rPr>
            </w:pPr>
          </w:p>
        </w:tc>
      </w:tr>
      <w:tr w:rsidR="00271DD6" w:rsidRPr="007629B9" w:rsidTr="000712D9">
        <w:trPr>
          <w:trHeight w:val="300"/>
        </w:trPr>
        <w:tc>
          <w:tcPr>
            <w:tcW w:w="551"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773" w:type="dxa"/>
            <w:tcBorders>
              <w:top w:val="nil"/>
              <w:left w:val="nil"/>
              <w:bottom w:val="single" w:sz="4" w:space="0" w:color="auto"/>
              <w:right w:val="single" w:sz="8" w:space="0" w:color="auto"/>
            </w:tcBorders>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1000</w:t>
            </w:r>
          </w:p>
        </w:tc>
        <w:tc>
          <w:tcPr>
            <w:tcW w:w="1248"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24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180,60 €</w:t>
            </w:r>
          </w:p>
        </w:tc>
        <w:tc>
          <w:tcPr>
            <w:tcW w:w="1273"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137,00 €</w:t>
            </w:r>
          </w:p>
        </w:tc>
        <w:tc>
          <w:tcPr>
            <w:tcW w:w="1418"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122,00 €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1134" w:type="dxa"/>
            <w:tcBorders>
              <w:top w:val="nil"/>
              <w:left w:val="nil"/>
              <w:bottom w:val="single" w:sz="8" w:space="0" w:color="auto"/>
              <w:right w:val="single" w:sz="8" w:space="0" w:color="auto"/>
            </w:tcBorders>
            <w:shd w:val="clear" w:color="000000" w:fill="F2F2F2"/>
            <w:noWrap/>
            <w:vAlign w:val="center"/>
            <w:hideMark/>
          </w:tcPr>
          <w:p w:rsidR="00271DD6" w:rsidRPr="007629B9" w:rsidRDefault="00271DD6" w:rsidP="000712D9">
            <w:pPr>
              <w:jc w:val="center"/>
              <w:rPr>
                <w:rFonts w:ascii="Calibri" w:hAnsi="Calibri" w:cs="Calibri"/>
                <w:b/>
                <w:bCs/>
                <w:sz w:val="22"/>
                <w:szCs w:val="22"/>
              </w:rPr>
            </w:pPr>
            <w:r w:rsidRPr="007629B9">
              <w:rPr>
                <w:rFonts w:ascii="Calibri" w:hAnsi="Calibri" w:cs="Calibri"/>
                <w:b/>
                <w:bCs/>
                <w:sz w:val="22"/>
                <w:szCs w:val="22"/>
              </w:rPr>
              <w:t>&gt;100</w:t>
            </w:r>
          </w:p>
        </w:tc>
        <w:tc>
          <w:tcPr>
            <w:tcW w:w="1275" w:type="dxa"/>
            <w:tcBorders>
              <w:top w:val="nil"/>
              <w:left w:val="nil"/>
              <w:bottom w:val="single" w:sz="8" w:space="0" w:color="auto"/>
              <w:right w:val="single" w:sz="8"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210,00 €</w:t>
            </w:r>
          </w:p>
        </w:tc>
      </w:tr>
      <w:tr w:rsidR="00271DD6" w:rsidRPr="007629B9" w:rsidTr="000712D9">
        <w:trPr>
          <w:trHeight w:val="300"/>
        </w:trPr>
        <w:tc>
          <w:tcPr>
            <w:tcW w:w="551"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773" w:type="dxa"/>
            <w:tcBorders>
              <w:top w:val="nil"/>
              <w:left w:val="nil"/>
              <w:bottom w:val="single" w:sz="8" w:space="0" w:color="auto"/>
              <w:right w:val="single" w:sz="8" w:space="0" w:color="auto"/>
            </w:tcBorders>
            <w:shd w:val="clear" w:color="000000" w:fill="F2F2F2"/>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10000</w:t>
            </w:r>
          </w:p>
        </w:tc>
        <w:tc>
          <w:tcPr>
            <w:tcW w:w="1248" w:type="dxa"/>
            <w:tcBorders>
              <w:top w:val="nil"/>
              <w:left w:val="nil"/>
              <w:bottom w:val="single" w:sz="8"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1248" w:type="dxa"/>
            <w:tcBorders>
              <w:top w:val="nil"/>
              <w:left w:val="nil"/>
              <w:bottom w:val="single" w:sz="8"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907,30 €</w:t>
            </w:r>
          </w:p>
        </w:tc>
        <w:tc>
          <w:tcPr>
            <w:tcW w:w="1273" w:type="dxa"/>
            <w:tcBorders>
              <w:top w:val="nil"/>
              <w:left w:val="nil"/>
              <w:bottom w:val="single" w:sz="8" w:space="0" w:color="auto"/>
              <w:right w:val="single" w:sz="4" w:space="0" w:color="auto"/>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412,00 €</w:t>
            </w:r>
          </w:p>
        </w:tc>
        <w:tc>
          <w:tcPr>
            <w:tcW w:w="1418" w:type="dxa"/>
            <w:tcBorders>
              <w:top w:val="nil"/>
              <w:left w:val="nil"/>
              <w:bottom w:val="single" w:sz="8" w:space="0" w:color="auto"/>
              <w:right w:val="nil"/>
            </w:tcBorders>
            <w:shd w:val="clear" w:color="auto" w:fill="auto"/>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375,30 €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1DD6" w:rsidRPr="007629B9" w:rsidRDefault="00271DD6" w:rsidP="000712D9">
            <w:pPr>
              <w:rPr>
                <w:rFonts w:ascii="Calibri" w:hAnsi="Calibri" w:cs="Calibri"/>
                <w:b/>
                <w:bCs/>
                <w:color w:val="000000"/>
                <w:sz w:val="22"/>
                <w:szCs w:val="22"/>
              </w:rPr>
            </w:pPr>
          </w:p>
        </w:tc>
        <w:tc>
          <w:tcPr>
            <w:tcW w:w="2409"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71DD6" w:rsidRPr="007629B9" w:rsidRDefault="00271DD6" w:rsidP="000712D9">
            <w:pPr>
              <w:jc w:val="center"/>
              <w:rPr>
                <w:rFonts w:ascii="Arial" w:hAnsi="Arial" w:cs="Arial"/>
                <w:sz w:val="20"/>
                <w:szCs w:val="20"/>
              </w:rPr>
            </w:pPr>
            <w:r w:rsidRPr="007629B9">
              <w:rPr>
                <w:rFonts w:ascii="Arial" w:hAnsi="Arial" w:cs="Arial"/>
                <w:sz w:val="20"/>
                <w:szCs w:val="20"/>
              </w:rPr>
              <w:t> </w:t>
            </w:r>
          </w:p>
        </w:tc>
      </w:tr>
    </w:tbl>
    <w:p w:rsidR="00271DD6" w:rsidRPr="007629B9" w:rsidRDefault="00271DD6" w:rsidP="00271DD6">
      <w:pPr>
        <w:spacing w:before="120" w:after="120" w:line="276" w:lineRule="auto"/>
        <w:ind w:left="495"/>
        <w:jc w:val="both"/>
        <w:rPr>
          <w:rFonts w:ascii="Arial" w:hAnsi="Arial" w:cs="Arial"/>
          <w:b/>
        </w:rPr>
      </w:pPr>
    </w:p>
    <w:p w:rsidR="00271DD6" w:rsidRPr="007629B9" w:rsidRDefault="00271DD6" w:rsidP="00271DD6">
      <w:pPr>
        <w:spacing w:before="120" w:after="120" w:line="276" w:lineRule="auto"/>
        <w:ind w:left="495"/>
        <w:jc w:val="both"/>
        <w:rPr>
          <w:rFonts w:ascii="Arial" w:hAnsi="Arial" w:cs="Arial"/>
          <w:b/>
        </w:rPr>
      </w:pPr>
      <w:r w:rsidRPr="007629B9">
        <w:rPr>
          <w:rFonts w:ascii="Arial" w:hAnsi="Arial" w:cs="Arial"/>
          <w:b/>
        </w:rPr>
        <w:t>Πίνακας 3</w:t>
      </w:r>
    </w:p>
    <w:tbl>
      <w:tblPr>
        <w:tblW w:w="9634" w:type="dxa"/>
        <w:tblLook w:val="04A0" w:firstRow="1" w:lastRow="0" w:firstColumn="1" w:lastColumn="0" w:noHBand="0" w:noVBand="1"/>
      </w:tblPr>
      <w:tblGrid>
        <w:gridCol w:w="6799"/>
        <w:gridCol w:w="2835"/>
      </w:tblGrid>
      <w:tr w:rsidR="00271DD6" w:rsidRPr="007629B9" w:rsidTr="000712D9">
        <w:trPr>
          <w:trHeight w:val="288"/>
        </w:trPr>
        <w:tc>
          <w:tcPr>
            <w:tcW w:w="679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271DD6" w:rsidRPr="007629B9" w:rsidRDefault="00271DD6" w:rsidP="000712D9">
            <w:pPr>
              <w:rPr>
                <w:rFonts w:ascii="Arial" w:hAnsi="Arial" w:cs="Arial"/>
                <w:b/>
                <w:bCs/>
                <w:color w:val="000000"/>
                <w:sz w:val="20"/>
                <w:szCs w:val="20"/>
              </w:rPr>
            </w:pP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Εφάπαξ €</w:t>
            </w:r>
          </w:p>
        </w:tc>
      </w:tr>
      <w:tr w:rsidR="00271DD6" w:rsidRPr="007629B9" w:rsidTr="000712D9">
        <w:trPr>
          <w:trHeight w:val="315"/>
        </w:trPr>
        <w:tc>
          <w:tcPr>
            <w:tcW w:w="6799" w:type="dxa"/>
            <w:tcBorders>
              <w:top w:val="nil"/>
              <w:left w:val="single" w:sz="4"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ΠΡΟΜΕΛΕΤΗ</w:t>
            </w:r>
          </w:p>
        </w:tc>
        <w:tc>
          <w:tcPr>
            <w:tcW w:w="2835" w:type="dxa"/>
            <w:tcBorders>
              <w:top w:val="nil"/>
              <w:left w:val="nil"/>
              <w:bottom w:val="single" w:sz="4" w:space="0" w:color="auto"/>
              <w:right w:val="single" w:sz="4" w:space="0" w:color="auto"/>
            </w:tcBorders>
            <w:shd w:val="clear" w:color="000000" w:fill="D9D9D9"/>
            <w:noWrap/>
            <w:vAlign w:val="center"/>
            <w:hideMark/>
          </w:tcPr>
          <w:p w:rsidR="00271DD6" w:rsidRPr="007629B9" w:rsidRDefault="00271DD6" w:rsidP="000712D9">
            <w:pPr>
              <w:jc w:val="center"/>
              <w:rPr>
                <w:rFonts w:ascii="Arial" w:hAnsi="Arial" w:cs="Arial"/>
                <w:sz w:val="20"/>
                <w:szCs w:val="20"/>
              </w:rPr>
            </w:pPr>
            <w:r w:rsidRPr="007629B9">
              <w:rPr>
                <w:rFonts w:ascii="Arial" w:hAnsi="Arial" w:cs="Arial"/>
                <w:sz w:val="20"/>
                <w:szCs w:val="20"/>
              </w:rPr>
              <w:t> </w:t>
            </w:r>
          </w:p>
        </w:tc>
      </w:tr>
      <w:tr w:rsidR="00271DD6" w:rsidRPr="007629B9" w:rsidTr="000712D9">
        <w:trPr>
          <w:trHeight w:val="630"/>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 xml:space="preserve">Τέλος Απόρριψης Εκπόνησης Τεχνικής Προμελέτης Οπτικής Πρόσβασης </w:t>
            </w:r>
            <w:proofErr w:type="spellStart"/>
            <w:r w:rsidRPr="007629B9">
              <w:rPr>
                <w:rFonts w:ascii="Arial" w:hAnsi="Arial" w:cs="Arial"/>
                <w:bCs/>
                <w:sz w:val="20"/>
                <w:szCs w:val="20"/>
              </w:rPr>
              <w:t>Ethernet</w:t>
            </w:r>
            <w:proofErr w:type="spellEnd"/>
            <w:r w:rsidRPr="007629B9">
              <w:rPr>
                <w:rFonts w:ascii="Arial" w:hAnsi="Arial" w:cs="Arial"/>
                <w:bCs/>
                <w:sz w:val="20"/>
                <w:szCs w:val="20"/>
              </w:rPr>
              <w:t xml:space="preserve"> (οπτική ίνα έως 1Gbps)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1DD6" w:rsidRPr="007629B9" w:rsidRDefault="00271DD6" w:rsidP="000712D9">
            <w:pPr>
              <w:jc w:val="center"/>
              <w:rPr>
                <w:rFonts w:ascii="Arial" w:hAnsi="Arial" w:cs="Arial"/>
                <w:color w:val="000000" w:themeColor="text1"/>
                <w:sz w:val="20"/>
                <w:szCs w:val="20"/>
              </w:rPr>
            </w:pPr>
            <w:r w:rsidRPr="007629B9">
              <w:rPr>
                <w:rFonts w:ascii="Arial" w:hAnsi="Arial" w:cs="Arial"/>
                <w:sz w:val="20"/>
                <w:szCs w:val="20"/>
              </w:rPr>
              <w:t xml:space="preserve">429,75 </w:t>
            </w:r>
          </w:p>
        </w:tc>
      </w:tr>
      <w:tr w:rsidR="00271DD6" w:rsidRPr="007629B9" w:rsidTr="000712D9">
        <w:trPr>
          <w:trHeight w:val="690"/>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 xml:space="preserve">Τέλος Απόρριψης Εκπόνησης Τεχνικής Προμελέτης Ασύρματης Πρόσβασης </w:t>
            </w:r>
            <w:proofErr w:type="spellStart"/>
            <w:r w:rsidRPr="007629B9">
              <w:rPr>
                <w:rFonts w:ascii="Arial" w:hAnsi="Arial" w:cs="Arial"/>
                <w:bCs/>
                <w:sz w:val="20"/>
                <w:szCs w:val="20"/>
              </w:rPr>
              <w:t>Ethernet</w:t>
            </w:r>
            <w:proofErr w:type="spellEnd"/>
            <w:r w:rsidRPr="007629B9">
              <w:rPr>
                <w:rFonts w:ascii="Arial" w:hAnsi="Arial" w:cs="Arial"/>
                <w:bCs/>
                <w:sz w:val="20"/>
                <w:szCs w:val="20"/>
              </w:rPr>
              <w:t xml:space="preserve"> (έως 1Gbps, Μετακινήσεις ξηράς μέχρι 200km - Ζώνη 1)</w:t>
            </w:r>
          </w:p>
        </w:tc>
        <w:tc>
          <w:tcPr>
            <w:tcW w:w="2835" w:type="dxa"/>
            <w:tcBorders>
              <w:top w:val="nil"/>
              <w:left w:val="single" w:sz="4" w:space="0" w:color="auto"/>
              <w:bottom w:val="single" w:sz="4" w:space="0" w:color="auto"/>
              <w:right w:val="single" w:sz="4" w:space="0" w:color="auto"/>
            </w:tcBorders>
            <w:shd w:val="clear" w:color="000000" w:fill="FFFFFF"/>
            <w:noWrap/>
            <w:vAlign w:val="center"/>
          </w:tcPr>
          <w:p w:rsidR="00271DD6" w:rsidRPr="007629B9" w:rsidRDefault="00271DD6" w:rsidP="000712D9">
            <w:pPr>
              <w:jc w:val="center"/>
              <w:rPr>
                <w:rFonts w:ascii="Arial" w:hAnsi="Arial" w:cs="Arial"/>
                <w:color w:val="000000" w:themeColor="text1"/>
                <w:sz w:val="20"/>
                <w:szCs w:val="20"/>
              </w:rPr>
            </w:pPr>
            <w:r w:rsidRPr="007629B9">
              <w:rPr>
                <w:rFonts w:ascii="Arial" w:hAnsi="Arial" w:cs="Arial"/>
                <w:sz w:val="20"/>
                <w:szCs w:val="20"/>
              </w:rPr>
              <w:t xml:space="preserve">461,60 </w:t>
            </w:r>
          </w:p>
        </w:tc>
      </w:tr>
      <w:tr w:rsidR="00271DD6" w:rsidRPr="007629B9" w:rsidTr="000712D9">
        <w:trPr>
          <w:trHeight w:val="690"/>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 xml:space="preserve">Τέλος Απόρριψης Εκπόνησης Τεχνικής Προμελέτης Ασύρματης Πρόσβασης </w:t>
            </w:r>
            <w:proofErr w:type="spellStart"/>
            <w:r w:rsidRPr="007629B9">
              <w:rPr>
                <w:rFonts w:ascii="Arial" w:hAnsi="Arial" w:cs="Arial"/>
                <w:bCs/>
                <w:sz w:val="20"/>
                <w:szCs w:val="20"/>
              </w:rPr>
              <w:t>Ethernet</w:t>
            </w:r>
            <w:proofErr w:type="spellEnd"/>
            <w:r w:rsidRPr="007629B9">
              <w:rPr>
                <w:rFonts w:ascii="Arial" w:hAnsi="Arial" w:cs="Arial"/>
                <w:bCs/>
                <w:sz w:val="20"/>
                <w:szCs w:val="20"/>
              </w:rPr>
              <w:t xml:space="preserve"> (έως 1Gbps, Μετακινήσεις ξηράς πέραν των 200km, Ζώνη 2)</w:t>
            </w:r>
          </w:p>
        </w:tc>
        <w:tc>
          <w:tcPr>
            <w:tcW w:w="2835" w:type="dxa"/>
            <w:tcBorders>
              <w:top w:val="nil"/>
              <w:left w:val="single" w:sz="4" w:space="0" w:color="auto"/>
              <w:bottom w:val="single" w:sz="4" w:space="0" w:color="auto"/>
              <w:right w:val="single" w:sz="4" w:space="0" w:color="auto"/>
            </w:tcBorders>
            <w:shd w:val="clear" w:color="000000" w:fill="FFFFFF"/>
            <w:noWrap/>
            <w:vAlign w:val="center"/>
          </w:tcPr>
          <w:p w:rsidR="00271DD6" w:rsidRPr="007629B9" w:rsidRDefault="00271DD6" w:rsidP="000712D9">
            <w:pPr>
              <w:jc w:val="center"/>
              <w:rPr>
                <w:rFonts w:ascii="Arial" w:hAnsi="Arial" w:cs="Arial"/>
                <w:color w:val="000000" w:themeColor="text1"/>
                <w:sz w:val="20"/>
                <w:szCs w:val="20"/>
              </w:rPr>
            </w:pPr>
            <w:r w:rsidRPr="007629B9">
              <w:rPr>
                <w:rFonts w:ascii="Arial" w:hAnsi="Arial" w:cs="Arial"/>
                <w:sz w:val="20"/>
                <w:szCs w:val="20"/>
              </w:rPr>
              <w:t xml:space="preserve">1.309,27 </w:t>
            </w:r>
          </w:p>
        </w:tc>
      </w:tr>
      <w:tr w:rsidR="00271DD6" w:rsidRPr="007629B9" w:rsidTr="000712D9">
        <w:trPr>
          <w:trHeight w:val="720"/>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 xml:space="preserve">Τέλος Απόρριψης Εκπόνησης Τεχνικής Προμελέτης Ασύρματης Πρόσβασης </w:t>
            </w:r>
            <w:proofErr w:type="spellStart"/>
            <w:r w:rsidRPr="007629B9">
              <w:rPr>
                <w:rFonts w:ascii="Arial" w:hAnsi="Arial" w:cs="Arial"/>
                <w:bCs/>
                <w:sz w:val="20"/>
                <w:szCs w:val="20"/>
              </w:rPr>
              <w:t>Ethernet</w:t>
            </w:r>
            <w:proofErr w:type="spellEnd"/>
            <w:r w:rsidRPr="007629B9">
              <w:rPr>
                <w:rFonts w:ascii="Arial" w:hAnsi="Arial" w:cs="Arial"/>
                <w:bCs/>
                <w:sz w:val="20"/>
                <w:szCs w:val="20"/>
              </w:rPr>
              <w:t xml:space="preserve"> (έως 1Gbps, Μετακινήσεις σε Νησιά, Ζώνη 3)</w:t>
            </w:r>
          </w:p>
        </w:tc>
        <w:tc>
          <w:tcPr>
            <w:tcW w:w="2835" w:type="dxa"/>
            <w:tcBorders>
              <w:top w:val="nil"/>
              <w:left w:val="single" w:sz="4" w:space="0" w:color="auto"/>
              <w:bottom w:val="single" w:sz="4" w:space="0" w:color="auto"/>
              <w:right w:val="single" w:sz="4" w:space="0" w:color="auto"/>
            </w:tcBorders>
            <w:shd w:val="clear" w:color="000000" w:fill="FFFFFF"/>
            <w:noWrap/>
            <w:vAlign w:val="center"/>
          </w:tcPr>
          <w:p w:rsidR="00271DD6" w:rsidRPr="007629B9" w:rsidRDefault="00271DD6" w:rsidP="000712D9">
            <w:pPr>
              <w:jc w:val="center"/>
              <w:rPr>
                <w:rFonts w:ascii="Arial" w:hAnsi="Arial" w:cs="Arial"/>
                <w:color w:val="000000" w:themeColor="text1"/>
                <w:sz w:val="20"/>
                <w:szCs w:val="20"/>
              </w:rPr>
            </w:pPr>
            <w:r w:rsidRPr="007629B9">
              <w:rPr>
                <w:rFonts w:ascii="Arial" w:hAnsi="Arial" w:cs="Arial"/>
                <w:sz w:val="20"/>
                <w:szCs w:val="20"/>
              </w:rPr>
              <w:t xml:space="preserve">1.354,68 </w:t>
            </w:r>
          </w:p>
        </w:tc>
      </w:tr>
      <w:tr w:rsidR="00271DD6" w:rsidRPr="007629B9" w:rsidTr="000712D9">
        <w:trPr>
          <w:trHeight w:val="315"/>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ΕΝΕΡΓΟΠΟΙΗΣΗ</w:t>
            </w:r>
          </w:p>
        </w:tc>
        <w:tc>
          <w:tcPr>
            <w:tcW w:w="2835" w:type="dxa"/>
            <w:tcBorders>
              <w:top w:val="nil"/>
              <w:left w:val="nil"/>
              <w:bottom w:val="single" w:sz="4" w:space="0" w:color="auto"/>
              <w:right w:val="single" w:sz="4" w:space="0" w:color="auto"/>
            </w:tcBorders>
            <w:shd w:val="clear" w:color="000000" w:fill="D9D9D9"/>
            <w:noWrap/>
            <w:vAlign w:val="bottom"/>
          </w:tcPr>
          <w:p w:rsidR="00271DD6" w:rsidRPr="007629B9" w:rsidRDefault="00271DD6" w:rsidP="000712D9">
            <w:pPr>
              <w:jc w:val="center"/>
              <w:rPr>
                <w:rFonts w:ascii="Arial" w:hAnsi="Arial" w:cs="Arial"/>
                <w:color w:val="000000" w:themeColor="text1"/>
                <w:sz w:val="20"/>
                <w:szCs w:val="20"/>
              </w:rPr>
            </w:pPr>
          </w:p>
        </w:tc>
      </w:tr>
      <w:tr w:rsidR="00271DD6" w:rsidRPr="007629B9" w:rsidTr="000712D9">
        <w:trPr>
          <w:trHeight w:val="540"/>
        </w:trPr>
        <w:tc>
          <w:tcPr>
            <w:tcW w:w="6799" w:type="dxa"/>
            <w:tcBorders>
              <w:top w:val="nil"/>
              <w:left w:val="single" w:sz="4" w:space="0" w:color="auto"/>
              <w:bottom w:val="single" w:sz="4" w:space="0" w:color="auto"/>
              <w:right w:val="single" w:sz="4" w:space="0" w:color="auto"/>
            </w:tcBorders>
            <w:shd w:val="clear" w:color="000000" w:fill="auto"/>
            <w:vAlign w:val="center"/>
            <w:hideMark/>
          </w:tcPr>
          <w:p w:rsidR="00271DD6" w:rsidRPr="007629B9" w:rsidRDefault="00271DD6" w:rsidP="000712D9">
            <w:pPr>
              <w:rPr>
                <w:rFonts w:ascii="Calibri" w:hAnsi="Calibri" w:cs="Calibri"/>
                <w:color w:val="000000"/>
                <w:sz w:val="22"/>
                <w:szCs w:val="22"/>
              </w:rPr>
            </w:pPr>
            <w:r w:rsidRPr="007629B9">
              <w:rPr>
                <w:rFonts w:ascii="Calibri" w:hAnsi="Calibri" w:cs="Calibri"/>
                <w:color w:val="000000"/>
                <w:sz w:val="22"/>
                <w:szCs w:val="22"/>
              </w:rPr>
              <w:t xml:space="preserve">Τέλος Ενεργοποίησης  Ασύρματης Πρόσβασης </w:t>
            </w:r>
            <w:proofErr w:type="spellStart"/>
            <w:r w:rsidRPr="007629B9">
              <w:rPr>
                <w:rFonts w:ascii="Calibri" w:hAnsi="Calibri" w:cs="Calibri"/>
                <w:color w:val="000000"/>
                <w:sz w:val="22"/>
                <w:szCs w:val="22"/>
              </w:rPr>
              <w:t>Ethernet</w:t>
            </w:r>
            <w:proofErr w:type="spellEnd"/>
            <w:r w:rsidRPr="007629B9">
              <w:rPr>
                <w:rFonts w:ascii="Calibri" w:hAnsi="Calibri" w:cs="Calibri"/>
                <w:color w:val="000000"/>
                <w:sz w:val="22"/>
                <w:szCs w:val="22"/>
              </w:rPr>
              <w:t xml:space="preserve"> - 24μηνη δέσμευση (Ζώνες 1 - 3)</w:t>
            </w:r>
          </w:p>
        </w:tc>
        <w:tc>
          <w:tcPr>
            <w:tcW w:w="2835" w:type="dxa"/>
            <w:tcBorders>
              <w:top w:val="nil"/>
              <w:left w:val="nil"/>
              <w:bottom w:val="single" w:sz="4" w:space="0" w:color="auto"/>
              <w:right w:val="single" w:sz="4" w:space="0" w:color="auto"/>
            </w:tcBorders>
            <w:shd w:val="clear" w:color="000000" w:fill="FFFFFF"/>
            <w:noWrap/>
            <w:vAlign w:val="bottom"/>
          </w:tcPr>
          <w:p w:rsidR="00271DD6" w:rsidRPr="007629B9" w:rsidRDefault="00271DD6" w:rsidP="000712D9">
            <w:pPr>
              <w:jc w:val="center"/>
              <w:rPr>
                <w:rFonts w:ascii="Arial" w:hAnsi="Arial" w:cs="Arial"/>
                <w:sz w:val="20"/>
                <w:szCs w:val="20"/>
              </w:rPr>
            </w:pPr>
            <w:r w:rsidRPr="007629B9">
              <w:rPr>
                <w:rFonts w:ascii="Arial" w:hAnsi="Arial" w:cs="Arial"/>
                <w:sz w:val="20"/>
                <w:szCs w:val="20"/>
              </w:rPr>
              <w:t>684,54</w:t>
            </w:r>
          </w:p>
        </w:tc>
      </w:tr>
      <w:tr w:rsidR="00271DD6" w:rsidRPr="007629B9" w:rsidTr="000712D9">
        <w:trPr>
          <w:trHeight w:val="288"/>
        </w:trPr>
        <w:tc>
          <w:tcPr>
            <w:tcW w:w="6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ΒΛΑΒΕΣ ΚΑΙ ΛΟΙΠΑ ΤΕΛΗ</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rsidR="00271DD6" w:rsidRPr="007629B9" w:rsidRDefault="00271DD6" w:rsidP="000712D9">
            <w:pPr>
              <w:jc w:val="center"/>
              <w:rPr>
                <w:rFonts w:ascii="Arial" w:hAnsi="Arial" w:cs="Arial"/>
                <w:sz w:val="20"/>
                <w:szCs w:val="20"/>
              </w:rPr>
            </w:pPr>
            <w:r w:rsidRPr="007629B9">
              <w:rPr>
                <w:rFonts w:ascii="Arial" w:hAnsi="Arial" w:cs="Arial"/>
                <w:sz w:val="20"/>
                <w:szCs w:val="20"/>
              </w:rPr>
              <w:t> </w:t>
            </w:r>
          </w:p>
        </w:tc>
      </w:tr>
      <w:tr w:rsidR="00271DD6" w:rsidRPr="007629B9" w:rsidTr="000712D9">
        <w:trPr>
          <w:trHeight w:val="552"/>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Άσκοπη μετάβαση για ενεργοποίηση ασύρματης πρόσβασης</w:t>
            </w:r>
          </w:p>
        </w:tc>
        <w:tc>
          <w:tcPr>
            <w:tcW w:w="2835" w:type="dxa"/>
            <w:tcBorders>
              <w:top w:val="nil"/>
              <w:left w:val="nil"/>
              <w:bottom w:val="single" w:sz="4" w:space="0" w:color="auto"/>
              <w:right w:val="single" w:sz="4" w:space="0" w:color="auto"/>
            </w:tcBorders>
            <w:shd w:val="clear" w:color="000000" w:fill="FFFFFF"/>
            <w:vAlign w:val="center"/>
          </w:tcPr>
          <w:p w:rsidR="00271DD6" w:rsidRPr="007629B9" w:rsidRDefault="00271DD6" w:rsidP="000712D9">
            <w:pPr>
              <w:jc w:val="center"/>
              <w:rPr>
                <w:rFonts w:ascii="Arial" w:hAnsi="Arial" w:cs="Arial"/>
                <w:sz w:val="20"/>
                <w:szCs w:val="20"/>
              </w:rPr>
            </w:pPr>
            <w:r w:rsidRPr="007629B9">
              <w:rPr>
                <w:rFonts w:ascii="Arial" w:hAnsi="Arial" w:cs="Arial"/>
                <w:sz w:val="20"/>
                <w:szCs w:val="20"/>
              </w:rPr>
              <w:t xml:space="preserve">21,56 </w:t>
            </w:r>
          </w:p>
        </w:tc>
      </w:tr>
      <w:tr w:rsidR="00271DD6" w:rsidRPr="007629B9" w:rsidTr="000712D9">
        <w:trPr>
          <w:trHeight w:val="552"/>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Άσκοπη μετάβαση για άρση βλάβης ασύρματης πρόσβασης</w:t>
            </w:r>
          </w:p>
        </w:tc>
        <w:tc>
          <w:tcPr>
            <w:tcW w:w="2835" w:type="dxa"/>
            <w:tcBorders>
              <w:top w:val="nil"/>
              <w:left w:val="nil"/>
              <w:bottom w:val="single" w:sz="4" w:space="0" w:color="auto"/>
              <w:right w:val="single" w:sz="4" w:space="0" w:color="auto"/>
            </w:tcBorders>
            <w:shd w:val="clear" w:color="000000" w:fill="FFFFFF"/>
            <w:vAlign w:val="center"/>
          </w:tcPr>
          <w:p w:rsidR="00271DD6" w:rsidRPr="007629B9" w:rsidRDefault="00271DD6" w:rsidP="000712D9">
            <w:pPr>
              <w:jc w:val="center"/>
              <w:rPr>
                <w:rFonts w:ascii="Arial" w:hAnsi="Arial" w:cs="Arial"/>
                <w:sz w:val="20"/>
                <w:szCs w:val="20"/>
              </w:rPr>
            </w:pPr>
            <w:r w:rsidRPr="007629B9">
              <w:rPr>
                <w:rFonts w:ascii="Arial" w:hAnsi="Arial" w:cs="Arial"/>
                <w:sz w:val="20"/>
                <w:szCs w:val="20"/>
              </w:rPr>
              <w:t xml:space="preserve">127,71 </w:t>
            </w:r>
          </w:p>
        </w:tc>
      </w:tr>
      <w:tr w:rsidR="00271DD6" w:rsidRPr="007629B9" w:rsidTr="000712D9">
        <w:trPr>
          <w:trHeight w:val="434"/>
        </w:trPr>
        <w:tc>
          <w:tcPr>
            <w:tcW w:w="6799" w:type="dxa"/>
            <w:tcBorders>
              <w:top w:val="nil"/>
              <w:left w:val="single" w:sz="4" w:space="0" w:color="auto"/>
              <w:bottom w:val="single" w:sz="4" w:space="0" w:color="auto"/>
              <w:right w:val="single" w:sz="4" w:space="0" w:color="auto"/>
            </w:tcBorders>
            <w:shd w:val="clear" w:color="000000" w:fill="auto"/>
            <w:hideMark/>
          </w:tcPr>
          <w:p w:rsidR="00271DD6" w:rsidRPr="007629B9" w:rsidRDefault="00271DD6" w:rsidP="000712D9">
            <w:pPr>
              <w:rPr>
                <w:rFonts w:ascii="Arial" w:hAnsi="Arial" w:cs="Arial"/>
                <w:bCs/>
                <w:sz w:val="20"/>
                <w:szCs w:val="20"/>
              </w:rPr>
            </w:pPr>
            <w:r w:rsidRPr="007629B9">
              <w:rPr>
                <w:rFonts w:ascii="Arial" w:hAnsi="Arial" w:cs="Arial"/>
                <w:bCs/>
                <w:sz w:val="20"/>
                <w:szCs w:val="20"/>
              </w:rPr>
              <w:t>Άσκοπη απασχόληση Συνεργείου για την άρση βλάβης ασύρματης πρόσβασης</w:t>
            </w:r>
          </w:p>
        </w:tc>
        <w:tc>
          <w:tcPr>
            <w:tcW w:w="2835" w:type="dxa"/>
            <w:tcBorders>
              <w:top w:val="nil"/>
              <w:left w:val="nil"/>
              <w:bottom w:val="single" w:sz="4" w:space="0" w:color="auto"/>
              <w:right w:val="single" w:sz="4" w:space="0" w:color="auto"/>
            </w:tcBorders>
            <w:shd w:val="clear" w:color="000000" w:fill="FFFFFF"/>
            <w:vAlign w:val="center"/>
            <w:hideMark/>
          </w:tcPr>
          <w:p w:rsidR="00271DD6" w:rsidRPr="007629B9" w:rsidRDefault="00271DD6" w:rsidP="000712D9">
            <w:pPr>
              <w:jc w:val="center"/>
              <w:rPr>
                <w:rFonts w:ascii="Arial" w:hAnsi="Arial" w:cs="Arial"/>
                <w:sz w:val="20"/>
                <w:szCs w:val="20"/>
              </w:rPr>
            </w:pPr>
            <w:r w:rsidRPr="007629B9">
              <w:rPr>
                <w:rFonts w:ascii="Arial" w:hAnsi="Arial" w:cs="Arial"/>
                <w:sz w:val="20"/>
                <w:szCs w:val="20"/>
              </w:rPr>
              <w:t xml:space="preserve">30,67 </w:t>
            </w:r>
          </w:p>
        </w:tc>
      </w:tr>
      <w:tr w:rsidR="00271DD6" w:rsidRPr="007629B9" w:rsidTr="000712D9">
        <w:trPr>
          <w:trHeight w:val="668"/>
        </w:trPr>
        <w:tc>
          <w:tcPr>
            <w:tcW w:w="6799" w:type="dxa"/>
            <w:tcBorders>
              <w:top w:val="single" w:sz="4" w:space="0" w:color="auto"/>
              <w:left w:val="single" w:sz="4" w:space="0" w:color="auto"/>
              <w:bottom w:val="single" w:sz="4" w:space="0" w:color="auto"/>
              <w:right w:val="single" w:sz="4" w:space="0" w:color="auto"/>
            </w:tcBorders>
            <w:shd w:val="clear" w:color="000000" w:fill="auto"/>
          </w:tcPr>
          <w:p w:rsidR="00271DD6" w:rsidRPr="007629B9" w:rsidRDefault="00271DD6" w:rsidP="000712D9">
            <w:pPr>
              <w:rPr>
                <w:rFonts w:ascii="Arial" w:hAnsi="Arial" w:cs="Arial"/>
                <w:bCs/>
                <w:sz w:val="20"/>
                <w:szCs w:val="20"/>
              </w:rPr>
            </w:pPr>
            <w:r w:rsidRPr="007629B9">
              <w:rPr>
                <w:rFonts w:ascii="Arial" w:hAnsi="Arial" w:cs="Arial"/>
                <w:bCs/>
                <w:sz w:val="20"/>
                <w:szCs w:val="20"/>
              </w:rPr>
              <w:t>Άσκοπη μετάβαση κατά την τεχνοοικονομική προσφορά ασύρματης πρόσβασης</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271DD6" w:rsidRPr="007629B9" w:rsidRDefault="00271DD6" w:rsidP="000712D9">
            <w:pPr>
              <w:jc w:val="center"/>
              <w:rPr>
                <w:rFonts w:ascii="Arial" w:hAnsi="Arial" w:cs="Arial"/>
                <w:sz w:val="20"/>
                <w:szCs w:val="20"/>
              </w:rPr>
            </w:pPr>
            <w:r w:rsidRPr="007629B9">
              <w:rPr>
                <w:rFonts w:ascii="Arial" w:hAnsi="Arial" w:cs="Arial"/>
                <w:sz w:val="20"/>
                <w:szCs w:val="20"/>
              </w:rPr>
              <w:t xml:space="preserve"> 50% του αντίστοιχου  τέλους Απόρριψης Εκπόνησης Τεχνικής </w:t>
            </w:r>
            <w:proofErr w:type="spellStart"/>
            <w:r w:rsidRPr="007629B9">
              <w:rPr>
                <w:rFonts w:ascii="Arial" w:hAnsi="Arial" w:cs="Arial"/>
                <w:sz w:val="20"/>
                <w:szCs w:val="20"/>
              </w:rPr>
              <w:t>Προεμέλετης</w:t>
            </w:r>
            <w:proofErr w:type="spellEnd"/>
            <w:r w:rsidRPr="007629B9">
              <w:rPr>
                <w:rFonts w:ascii="Arial" w:hAnsi="Arial" w:cs="Arial"/>
                <w:sz w:val="20"/>
                <w:szCs w:val="20"/>
              </w:rPr>
              <w:t xml:space="preserve"> Πρόσβασης </w:t>
            </w:r>
            <w:proofErr w:type="spellStart"/>
            <w:r w:rsidRPr="007629B9">
              <w:rPr>
                <w:rFonts w:ascii="Arial" w:hAnsi="Arial" w:cs="Arial"/>
                <w:sz w:val="20"/>
                <w:szCs w:val="20"/>
              </w:rPr>
              <w:t>Ethernet</w:t>
            </w:r>
            <w:proofErr w:type="spellEnd"/>
            <w:r w:rsidRPr="007629B9">
              <w:rPr>
                <w:rFonts w:ascii="Arial" w:hAnsi="Arial" w:cs="Arial"/>
                <w:sz w:val="20"/>
                <w:szCs w:val="20"/>
              </w:rPr>
              <w:t xml:space="preserve"> </w:t>
            </w:r>
          </w:p>
        </w:tc>
      </w:tr>
      <w:tr w:rsidR="00271DD6" w:rsidRPr="007629B9" w:rsidTr="000712D9">
        <w:trPr>
          <w:trHeight w:val="583"/>
        </w:trPr>
        <w:tc>
          <w:tcPr>
            <w:tcW w:w="6799" w:type="dxa"/>
            <w:tcBorders>
              <w:top w:val="single" w:sz="4" w:space="0" w:color="auto"/>
              <w:left w:val="single" w:sz="4" w:space="0" w:color="auto"/>
              <w:bottom w:val="single" w:sz="4" w:space="0" w:color="auto"/>
              <w:right w:val="single" w:sz="4" w:space="0" w:color="auto"/>
            </w:tcBorders>
            <w:shd w:val="clear" w:color="000000" w:fill="auto"/>
          </w:tcPr>
          <w:p w:rsidR="00271DD6" w:rsidRPr="007629B9" w:rsidRDefault="00271DD6" w:rsidP="000712D9">
            <w:pPr>
              <w:rPr>
                <w:rFonts w:ascii="Arial" w:hAnsi="Arial" w:cs="Arial"/>
                <w:bCs/>
                <w:sz w:val="20"/>
                <w:szCs w:val="20"/>
              </w:rPr>
            </w:pPr>
            <w:r w:rsidRPr="007629B9">
              <w:rPr>
                <w:rFonts w:ascii="Arial" w:hAnsi="Arial" w:cs="Arial"/>
                <w:bCs/>
                <w:sz w:val="20"/>
                <w:szCs w:val="20"/>
              </w:rPr>
              <w:t>Τέλος Ακύρωσης Αίτησης Ενεργοποίησης/Μεταβολής</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271DD6" w:rsidRPr="007629B9" w:rsidRDefault="00271DD6" w:rsidP="000712D9">
            <w:pPr>
              <w:jc w:val="center"/>
              <w:rPr>
                <w:rFonts w:ascii="Arial" w:hAnsi="Arial" w:cs="Arial"/>
                <w:sz w:val="20"/>
                <w:szCs w:val="20"/>
              </w:rPr>
            </w:pPr>
            <w:r w:rsidRPr="007629B9">
              <w:rPr>
                <w:rFonts w:ascii="Arial" w:hAnsi="Arial" w:cs="Arial"/>
                <w:sz w:val="20"/>
                <w:szCs w:val="20"/>
              </w:rPr>
              <w:t xml:space="preserve"> 50% τέλους ενεργοποίησης + Τέλος Απόρριψης Εκπόνησης Τεχνικής Προμελέτης </w:t>
            </w:r>
          </w:p>
        </w:tc>
      </w:tr>
    </w:tbl>
    <w:p w:rsidR="00271DD6" w:rsidRPr="007629B9" w:rsidRDefault="00271DD6" w:rsidP="00271DD6">
      <w:pPr>
        <w:spacing w:before="120" w:after="120" w:line="276" w:lineRule="auto"/>
        <w:ind w:left="495"/>
        <w:jc w:val="both"/>
        <w:rPr>
          <w:rFonts w:ascii="Arial" w:hAnsi="Arial" w:cs="Arial"/>
        </w:rPr>
      </w:pPr>
    </w:p>
    <w:p w:rsidR="00F71D9A" w:rsidRPr="007629B9" w:rsidRDefault="00F71D9A" w:rsidP="00271DD6">
      <w:pPr>
        <w:spacing w:before="120" w:after="120" w:line="276" w:lineRule="auto"/>
        <w:ind w:left="495"/>
        <w:jc w:val="both"/>
        <w:rPr>
          <w:rFonts w:ascii="Arial" w:hAnsi="Arial" w:cs="Arial"/>
        </w:rPr>
      </w:pPr>
    </w:p>
    <w:p w:rsidR="00F71D9A" w:rsidRPr="007629B9" w:rsidRDefault="00F71D9A" w:rsidP="00271DD6">
      <w:pPr>
        <w:spacing w:before="120" w:after="120" w:line="276" w:lineRule="auto"/>
        <w:ind w:left="495"/>
        <w:jc w:val="both"/>
        <w:rPr>
          <w:rFonts w:ascii="Arial" w:hAnsi="Arial" w:cs="Arial"/>
        </w:rPr>
      </w:pPr>
    </w:p>
    <w:p w:rsidR="00271DD6" w:rsidRPr="007629B9" w:rsidRDefault="00271DD6" w:rsidP="00271DD6">
      <w:pPr>
        <w:keepNext/>
        <w:spacing w:before="120" w:after="120" w:line="276" w:lineRule="auto"/>
        <w:ind w:left="493"/>
        <w:jc w:val="both"/>
        <w:rPr>
          <w:rFonts w:ascii="Arial" w:hAnsi="Arial" w:cs="Arial"/>
          <w:b/>
        </w:rPr>
      </w:pPr>
      <w:r w:rsidRPr="007629B9">
        <w:rPr>
          <w:rFonts w:ascii="Arial" w:hAnsi="Arial" w:cs="Arial"/>
          <w:b/>
        </w:rPr>
        <w:t xml:space="preserve">Πίνακας 4 </w:t>
      </w:r>
    </w:p>
    <w:tbl>
      <w:tblPr>
        <w:tblW w:w="9020" w:type="dxa"/>
        <w:tblLook w:val="04A0" w:firstRow="1" w:lastRow="0" w:firstColumn="1" w:lastColumn="0" w:noHBand="0" w:noVBand="1"/>
      </w:tblPr>
      <w:tblGrid>
        <w:gridCol w:w="1567"/>
        <w:gridCol w:w="3040"/>
        <w:gridCol w:w="2200"/>
        <w:gridCol w:w="2280"/>
      </w:tblGrid>
      <w:tr w:rsidR="00271DD6" w:rsidRPr="007629B9" w:rsidTr="000712D9">
        <w:trPr>
          <w:trHeight w:val="300"/>
        </w:trPr>
        <w:tc>
          <w:tcPr>
            <w:tcW w:w="9020"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Εφάπαξ Τέλη Ενεργοποίησης Προσβάσεων</w:t>
            </w:r>
          </w:p>
        </w:tc>
      </w:tr>
      <w:tr w:rsidR="00271DD6" w:rsidRPr="007629B9" w:rsidTr="000712D9">
        <w:trPr>
          <w:trHeight w:val="876"/>
        </w:trPr>
        <w:tc>
          <w:tcPr>
            <w:tcW w:w="1500" w:type="dxa"/>
            <w:tcBorders>
              <w:top w:val="nil"/>
              <w:left w:val="single" w:sz="8" w:space="0" w:color="auto"/>
              <w:bottom w:val="single" w:sz="8" w:space="0" w:color="auto"/>
              <w:right w:val="single" w:sz="8" w:space="0" w:color="auto"/>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Χωρητικότητα</w:t>
            </w:r>
          </w:p>
        </w:tc>
        <w:tc>
          <w:tcPr>
            <w:tcW w:w="3040" w:type="dxa"/>
            <w:tcBorders>
              <w:top w:val="nil"/>
              <w:left w:val="nil"/>
              <w:bottom w:val="nil"/>
              <w:right w:val="single" w:sz="4" w:space="0" w:color="auto"/>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 xml:space="preserve">Τέλος Ενεργοποίησης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από Φ/Σ</w:t>
            </w:r>
          </w:p>
        </w:tc>
        <w:tc>
          <w:tcPr>
            <w:tcW w:w="2200" w:type="dxa"/>
            <w:tcBorders>
              <w:top w:val="nil"/>
              <w:left w:val="nil"/>
              <w:bottom w:val="nil"/>
              <w:right w:val="single" w:sz="4" w:space="0" w:color="auto"/>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 xml:space="preserve">Τέλος Ενεργοποίησης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SHDSL*</w:t>
            </w:r>
          </w:p>
        </w:tc>
        <w:tc>
          <w:tcPr>
            <w:tcW w:w="2280" w:type="dxa"/>
            <w:tcBorders>
              <w:top w:val="nil"/>
              <w:left w:val="nil"/>
              <w:bottom w:val="nil"/>
              <w:right w:val="single" w:sz="8" w:space="0" w:color="auto"/>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 xml:space="preserve">Τέλος Ενεργοποίησης οπτικής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w:t>
            </w:r>
          </w:p>
        </w:tc>
      </w:tr>
      <w:tr w:rsidR="00271DD6" w:rsidRPr="007629B9" w:rsidTr="000712D9">
        <w:trPr>
          <w:trHeight w:val="288"/>
        </w:trPr>
        <w:tc>
          <w:tcPr>
            <w:tcW w:w="1500" w:type="dxa"/>
            <w:tcBorders>
              <w:top w:val="nil"/>
              <w:left w:val="single" w:sz="8" w:space="0" w:color="auto"/>
              <w:bottom w:val="single" w:sz="4" w:space="0" w:color="auto"/>
              <w:right w:val="nil"/>
            </w:tcBorders>
            <w:shd w:val="clear" w:color="000000" w:fill="D9D9D9"/>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 xml:space="preserve">2 </w:t>
            </w:r>
            <w:proofErr w:type="spellStart"/>
            <w:r w:rsidRPr="007629B9">
              <w:rPr>
                <w:rFonts w:ascii="Arial" w:hAnsi="Arial" w:cs="Arial"/>
                <w:b/>
                <w:bCs/>
                <w:color w:val="000000"/>
                <w:sz w:val="20"/>
                <w:szCs w:val="20"/>
              </w:rPr>
              <w:t>Mbps</w:t>
            </w:r>
            <w:proofErr w:type="spellEnd"/>
          </w:p>
        </w:tc>
        <w:tc>
          <w:tcPr>
            <w:tcW w:w="304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00" w:type="dxa"/>
            <w:tcBorders>
              <w:top w:val="single" w:sz="8" w:space="0" w:color="auto"/>
              <w:left w:val="nil"/>
              <w:bottom w:val="single" w:sz="4" w:space="0" w:color="auto"/>
              <w:right w:val="single" w:sz="4"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120,37 €</w:t>
            </w:r>
          </w:p>
        </w:tc>
        <w:tc>
          <w:tcPr>
            <w:tcW w:w="2280" w:type="dxa"/>
            <w:tcBorders>
              <w:top w:val="single" w:sz="8" w:space="0" w:color="auto"/>
              <w:left w:val="nil"/>
              <w:bottom w:val="single" w:sz="4" w:space="0" w:color="auto"/>
              <w:right w:val="single" w:sz="8"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r>
      <w:tr w:rsidR="00271DD6" w:rsidRPr="007629B9" w:rsidTr="000712D9">
        <w:trPr>
          <w:trHeight w:val="288"/>
        </w:trPr>
        <w:tc>
          <w:tcPr>
            <w:tcW w:w="1500" w:type="dxa"/>
            <w:tcBorders>
              <w:top w:val="nil"/>
              <w:left w:val="single" w:sz="8" w:space="0" w:color="auto"/>
              <w:bottom w:val="single" w:sz="4" w:space="0" w:color="auto"/>
              <w:right w:val="nil"/>
            </w:tcBorders>
            <w:shd w:val="clear" w:color="000000" w:fill="D9D9D9"/>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 xml:space="preserve">4 </w:t>
            </w:r>
            <w:proofErr w:type="spellStart"/>
            <w:r w:rsidRPr="007629B9">
              <w:rPr>
                <w:rFonts w:ascii="Arial" w:hAnsi="Arial" w:cs="Arial"/>
                <w:b/>
                <w:bCs/>
                <w:color w:val="000000"/>
                <w:sz w:val="20"/>
                <w:szCs w:val="20"/>
              </w:rPr>
              <w:t>Mbps</w:t>
            </w:r>
            <w:proofErr w:type="spellEnd"/>
          </w:p>
        </w:tc>
        <w:tc>
          <w:tcPr>
            <w:tcW w:w="3040" w:type="dxa"/>
            <w:tcBorders>
              <w:top w:val="nil"/>
              <w:left w:val="single" w:sz="8" w:space="0" w:color="auto"/>
              <w:bottom w:val="single" w:sz="4"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120,37 €</w:t>
            </w:r>
          </w:p>
        </w:tc>
        <w:tc>
          <w:tcPr>
            <w:tcW w:w="2280" w:type="dxa"/>
            <w:tcBorders>
              <w:top w:val="nil"/>
              <w:left w:val="nil"/>
              <w:bottom w:val="single" w:sz="4" w:space="0" w:color="auto"/>
              <w:right w:val="single" w:sz="8"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r>
      <w:tr w:rsidR="00271DD6" w:rsidRPr="007629B9" w:rsidTr="000712D9">
        <w:trPr>
          <w:trHeight w:val="288"/>
        </w:trPr>
        <w:tc>
          <w:tcPr>
            <w:tcW w:w="1500" w:type="dxa"/>
            <w:tcBorders>
              <w:top w:val="nil"/>
              <w:left w:val="single" w:sz="8" w:space="0" w:color="auto"/>
              <w:bottom w:val="single" w:sz="4" w:space="0" w:color="auto"/>
              <w:right w:val="nil"/>
            </w:tcBorders>
            <w:shd w:val="clear" w:color="000000" w:fill="D9D9D9"/>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 xml:space="preserve">100 </w:t>
            </w:r>
            <w:proofErr w:type="spellStart"/>
            <w:r w:rsidRPr="007629B9">
              <w:rPr>
                <w:rFonts w:ascii="Arial" w:hAnsi="Arial" w:cs="Arial"/>
                <w:b/>
                <w:bCs/>
                <w:color w:val="000000"/>
                <w:sz w:val="20"/>
                <w:szCs w:val="20"/>
              </w:rPr>
              <w:t>Mbps</w:t>
            </w:r>
            <w:proofErr w:type="spellEnd"/>
          </w:p>
        </w:tc>
        <w:tc>
          <w:tcPr>
            <w:tcW w:w="3040" w:type="dxa"/>
            <w:tcBorders>
              <w:top w:val="nil"/>
              <w:left w:val="single" w:sz="8" w:space="0" w:color="auto"/>
              <w:bottom w:val="single" w:sz="4"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00"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right"/>
              <w:rPr>
                <w:rFonts w:ascii="Arial" w:hAnsi="Arial" w:cs="Arial"/>
                <w:sz w:val="20"/>
                <w:szCs w:val="20"/>
              </w:rPr>
            </w:pPr>
            <w:r w:rsidRPr="007629B9">
              <w:rPr>
                <w:rFonts w:ascii="Arial" w:hAnsi="Arial" w:cs="Arial"/>
                <w:sz w:val="20"/>
                <w:szCs w:val="20"/>
              </w:rPr>
              <w:t> </w:t>
            </w:r>
          </w:p>
        </w:tc>
        <w:tc>
          <w:tcPr>
            <w:tcW w:w="2280" w:type="dxa"/>
            <w:tcBorders>
              <w:top w:val="nil"/>
              <w:left w:val="nil"/>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663,23 €</w:t>
            </w:r>
          </w:p>
        </w:tc>
      </w:tr>
      <w:tr w:rsidR="00271DD6" w:rsidRPr="007629B9" w:rsidTr="000712D9">
        <w:trPr>
          <w:trHeight w:val="288"/>
        </w:trPr>
        <w:tc>
          <w:tcPr>
            <w:tcW w:w="1500" w:type="dxa"/>
            <w:tcBorders>
              <w:top w:val="nil"/>
              <w:left w:val="single" w:sz="8" w:space="0" w:color="auto"/>
              <w:bottom w:val="single" w:sz="4" w:space="0" w:color="auto"/>
              <w:right w:val="nil"/>
            </w:tcBorders>
            <w:shd w:val="clear" w:color="000000" w:fill="D9D9D9"/>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 xml:space="preserve">1.000 </w:t>
            </w:r>
            <w:proofErr w:type="spellStart"/>
            <w:r w:rsidRPr="007629B9">
              <w:rPr>
                <w:rFonts w:ascii="Arial" w:hAnsi="Arial" w:cs="Arial"/>
                <w:b/>
                <w:bCs/>
                <w:color w:val="000000"/>
                <w:sz w:val="20"/>
                <w:szCs w:val="20"/>
              </w:rPr>
              <w:t>Mbps</w:t>
            </w:r>
            <w:proofErr w:type="spellEnd"/>
          </w:p>
        </w:tc>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497,90 €</w:t>
            </w:r>
          </w:p>
        </w:tc>
        <w:tc>
          <w:tcPr>
            <w:tcW w:w="2200" w:type="dxa"/>
            <w:tcBorders>
              <w:top w:val="nil"/>
              <w:left w:val="nil"/>
              <w:bottom w:val="single" w:sz="4"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80" w:type="dxa"/>
            <w:tcBorders>
              <w:top w:val="nil"/>
              <w:left w:val="nil"/>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663,23 €</w:t>
            </w:r>
          </w:p>
        </w:tc>
      </w:tr>
      <w:tr w:rsidR="00271DD6" w:rsidRPr="007629B9" w:rsidTr="000712D9">
        <w:trPr>
          <w:trHeight w:val="300"/>
        </w:trPr>
        <w:tc>
          <w:tcPr>
            <w:tcW w:w="1500" w:type="dxa"/>
            <w:tcBorders>
              <w:top w:val="nil"/>
              <w:left w:val="single" w:sz="8" w:space="0" w:color="auto"/>
              <w:bottom w:val="single" w:sz="8" w:space="0" w:color="auto"/>
              <w:right w:val="nil"/>
            </w:tcBorders>
            <w:shd w:val="clear" w:color="000000" w:fill="D9D9D9"/>
            <w:noWrap/>
            <w:vAlign w:val="center"/>
            <w:hideMark/>
          </w:tcPr>
          <w:p w:rsidR="00271DD6" w:rsidRPr="007629B9" w:rsidRDefault="00271DD6" w:rsidP="000712D9">
            <w:pPr>
              <w:jc w:val="right"/>
              <w:rPr>
                <w:rFonts w:ascii="Arial" w:hAnsi="Arial" w:cs="Arial"/>
                <w:b/>
                <w:bCs/>
                <w:color w:val="000000"/>
                <w:sz w:val="20"/>
                <w:szCs w:val="20"/>
              </w:rPr>
            </w:pPr>
            <w:r w:rsidRPr="007629B9">
              <w:rPr>
                <w:rFonts w:ascii="Arial" w:hAnsi="Arial" w:cs="Arial"/>
                <w:b/>
                <w:bCs/>
                <w:color w:val="000000"/>
                <w:sz w:val="20"/>
                <w:szCs w:val="20"/>
              </w:rPr>
              <w:t xml:space="preserve">10.000 </w:t>
            </w:r>
            <w:proofErr w:type="spellStart"/>
            <w:r w:rsidRPr="007629B9">
              <w:rPr>
                <w:rFonts w:ascii="Arial" w:hAnsi="Arial" w:cs="Arial"/>
                <w:b/>
                <w:bCs/>
                <w:color w:val="000000"/>
                <w:sz w:val="20"/>
                <w:szCs w:val="20"/>
              </w:rPr>
              <w:t>Mbps</w:t>
            </w:r>
            <w:proofErr w:type="spellEnd"/>
          </w:p>
        </w:tc>
        <w:tc>
          <w:tcPr>
            <w:tcW w:w="3040" w:type="dxa"/>
            <w:tcBorders>
              <w:top w:val="nil"/>
              <w:left w:val="single" w:sz="8" w:space="0" w:color="auto"/>
              <w:bottom w:val="single" w:sz="8"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00" w:type="dxa"/>
            <w:tcBorders>
              <w:top w:val="nil"/>
              <w:left w:val="nil"/>
              <w:bottom w:val="single" w:sz="8" w:space="0" w:color="auto"/>
              <w:right w:val="single" w:sz="4" w:space="0" w:color="auto"/>
            </w:tcBorders>
            <w:shd w:val="clear" w:color="000000" w:fill="BFBFBF"/>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 </w:t>
            </w:r>
          </w:p>
        </w:tc>
        <w:tc>
          <w:tcPr>
            <w:tcW w:w="2280" w:type="dxa"/>
            <w:tcBorders>
              <w:top w:val="nil"/>
              <w:left w:val="nil"/>
              <w:bottom w:val="single" w:sz="8"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663,23 €</w:t>
            </w:r>
          </w:p>
        </w:tc>
      </w:tr>
      <w:tr w:rsidR="00271DD6" w:rsidRPr="007629B9" w:rsidTr="000712D9">
        <w:trPr>
          <w:trHeight w:val="300"/>
        </w:trPr>
        <w:tc>
          <w:tcPr>
            <w:tcW w:w="1500" w:type="dxa"/>
            <w:tcBorders>
              <w:top w:val="nil"/>
              <w:left w:val="nil"/>
              <w:bottom w:val="nil"/>
              <w:right w:val="nil"/>
            </w:tcBorders>
            <w:shd w:val="clear" w:color="auto" w:fill="auto"/>
            <w:noWrap/>
            <w:vAlign w:val="bottom"/>
            <w:hideMark/>
          </w:tcPr>
          <w:p w:rsidR="00271DD6" w:rsidRPr="007629B9" w:rsidRDefault="00271DD6" w:rsidP="000712D9">
            <w:pPr>
              <w:jc w:val="center"/>
              <w:rPr>
                <w:rFonts w:ascii="Arial" w:hAnsi="Arial" w:cs="Arial"/>
                <w:color w:val="000000"/>
                <w:sz w:val="20"/>
                <w:szCs w:val="20"/>
              </w:rPr>
            </w:pPr>
          </w:p>
        </w:tc>
        <w:tc>
          <w:tcPr>
            <w:tcW w:w="304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8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r>
      <w:tr w:rsidR="00271DD6" w:rsidRPr="007629B9" w:rsidTr="000712D9">
        <w:trPr>
          <w:trHeight w:val="600"/>
        </w:trPr>
        <w:tc>
          <w:tcPr>
            <w:tcW w:w="9020" w:type="dxa"/>
            <w:gridSpan w:val="4"/>
            <w:tcBorders>
              <w:top w:val="single" w:sz="8" w:space="0" w:color="auto"/>
              <w:left w:val="single" w:sz="8" w:space="0" w:color="auto"/>
              <w:bottom w:val="nil"/>
              <w:right w:val="single" w:sz="8" w:space="0" w:color="000000"/>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Εφάπαξ Τέλη Αναβάθμισης Προστασίας Οπτικής Πρόσβασης*</w:t>
            </w:r>
          </w:p>
        </w:tc>
      </w:tr>
      <w:tr w:rsidR="00271DD6" w:rsidRPr="007629B9" w:rsidTr="000712D9">
        <w:trPr>
          <w:trHeight w:val="600"/>
        </w:trPr>
        <w:tc>
          <w:tcPr>
            <w:tcW w:w="6740" w:type="dxa"/>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Αναβάθμισης Προστασίας Οπτικής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με Διπλή Όδευση</w:t>
            </w:r>
          </w:p>
        </w:tc>
        <w:tc>
          <w:tcPr>
            <w:tcW w:w="22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464,04 €</w:t>
            </w:r>
          </w:p>
        </w:tc>
      </w:tr>
      <w:tr w:rsidR="00271DD6" w:rsidRPr="007629B9" w:rsidTr="000712D9">
        <w:trPr>
          <w:trHeight w:val="615"/>
        </w:trPr>
        <w:tc>
          <w:tcPr>
            <w:tcW w:w="6740" w:type="dxa"/>
            <w:gridSpan w:val="3"/>
            <w:tcBorders>
              <w:top w:val="single" w:sz="4" w:space="0" w:color="auto"/>
              <w:left w:val="single" w:sz="8" w:space="0" w:color="auto"/>
              <w:bottom w:val="single" w:sz="8"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Αναβάθμισης Προστασίας Οπτικής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με Διπλή Εισαγωγή**</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244,89 €</w:t>
            </w:r>
          </w:p>
        </w:tc>
      </w:tr>
      <w:tr w:rsidR="00271DD6" w:rsidRPr="007629B9" w:rsidTr="000712D9">
        <w:trPr>
          <w:trHeight w:val="300"/>
        </w:trPr>
        <w:tc>
          <w:tcPr>
            <w:tcW w:w="1500" w:type="dxa"/>
            <w:tcBorders>
              <w:top w:val="nil"/>
              <w:left w:val="nil"/>
              <w:bottom w:val="nil"/>
              <w:right w:val="nil"/>
            </w:tcBorders>
            <w:shd w:val="clear" w:color="auto" w:fill="auto"/>
            <w:vAlign w:val="center"/>
            <w:hideMark/>
          </w:tcPr>
          <w:p w:rsidR="00271DD6" w:rsidRPr="007629B9" w:rsidRDefault="00271DD6" w:rsidP="000712D9">
            <w:pPr>
              <w:jc w:val="center"/>
              <w:rPr>
                <w:rFonts w:ascii="Arial" w:hAnsi="Arial" w:cs="Arial"/>
                <w:color w:val="000000"/>
                <w:sz w:val="20"/>
                <w:szCs w:val="20"/>
              </w:rPr>
            </w:pPr>
          </w:p>
        </w:tc>
        <w:tc>
          <w:tcPr>
            <w:tcW w:w="304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80" w:type="dxa"/>
            <w:tcBorders>
              <w:top w:val="nil"/>
              <w:left w:val="nil"/>
              <w:bottom w:val="nil"/>
              <w:right w:val="nil"/>
            </w:tcBorders>
            <w:shd w:val="clear" w:color="auto" w:fill="auto"/>
            <w:noWrap/>
            <w:vAlign w:val="center"/>
            <w:hideMark/>
          </w:tcPr>
          <w:p w:rsidR="00271DD6" w:rsidRPr="007629B9" w:rsidRDefault="00271DD6" w:rsidP="000712D9">
            <w:pPr>
              <w:rPr>
                <w:rFonts w:ascii="Arial" w:hAnsi="Arial" w:cs="Arial"/>
                <w:sz w:val="20"/>
                <w:szCs w:val="20"/>
              </w:rPr>
            </w:pPr>
          </w:p>
        </w:tc>
      </w:tr>
      <w:tr w:rsidR="00271DD6" w:rsidRPr="007629B9" w:rsidTr="000712D9">
        <w:trPr>
          <w:trHeight w:val="600"/>
        </w:trPr>
        <w:tc>
          <w:tcPr>
            <w:tcW w:w="9020"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Εφάπαξ Τέλη Ενεργοποίησης Κυκλωμάτων</w:t>
            </w:r>
          </w:p>
        </w:tc>
      </w:tr>
      <w:tr w:rsidR="00271DD6" w:rsidRPr="007629B9" w:rsidTr="000712D9">
        <w:trPr>
          <w:trHeight w:val="615"/>
        </w:trPr>
        <w:tc>
          <w:tcPr>
            <w:tcW w:w="6740" w:type="dxa"/>
            <w:gridSpan w:val="3"/>
            <w:tcBorders>
              <w:top w:val="nil"/>
              <w:left w:val="single" w:sz="8" w:space="0" w:color="auto"/>
              <w:bottom w:val="single" w:sz="8"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Ενεργοποίησης Κυκλώματος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 EVC</w:t>
            </w:r>
          </w:p>
        </w:tc>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134,60 €</w:t>
            </w:r>
          </w:p>
        </w:tc>
      </w:tr>
      <w:tr w:rsidR="00271DD6" w:rsidRPr="007629B9" w:rsidTr="000712D9">
        <w:trPr>
          <w:trHeight w:val="300"/>
        </w:trPr>
        <w:tc>
          <w:tcPr>
            <w:tcW w:w="1500" w:type="dxa"/>
            <w:tcBorders>
              <w:top w:val="nil"/>
              <w:left w:val="nil"/>
              <w:bottom w:val="nil"/>
              <w:right w:val="nil"/>
            </w:tcBorders>
            <w:shd w:val="clear" w:color="auto" w:fill="auto"/>
            <w:vAlign w:val="center"/>
            <w:hideMark/>
          </w:tcPr>
          <w:p w:rsidR="00271DD6" w:rsidRPr="007629B9" w:rsidRDefault="00271DD6" w:rsidP="000712D9">
            <w:pPr>
              <w:jc w:val="center"/>
              <w:rPr>
                <w:rFonts w:ascii="Arial" w:hAnsi="Arial" w:cs="Arial"/>
                <w:color w:val="000000"/>
                <w:sz w:val="20"/>
                <w:szCs w:val="20"/>
              </w:rPr>
            </w:pPr>
          </w:p>
        </w:tc>
        <w:tc>
          <w:tcPr>
            <w:tcW w:w="304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80" w:type="dxa"/>
            <w:tcBorders>
              <w:top w:val="nil"/>
              <w:left w:val="nil"/>
              <w:bottom w:val="nil"/>
              <w:right w:val="nil"/>
            </w:tcBorders>
            <w:shd w:val="clear" w:color="auto" w:fill="auto"/>
            <w:noWrap/>
            <w:vAlign w:val="center"/>
            <w:hideMark/>
          </w:tcPr>
          <w:p w:rsidR="00271DD6" w:rsidRPr="007629B9" w:rsidRDefault="00271DD6" w:rsidP="000712D9">
            <w:pPr>
              <w:rPr>
                <w:rFonts w:ascii="Arial" w:hAnsi="Arial" w:cs="Arial"/>
                <w:sz w:val="20"/>
                <w:szCs w:val="20"/>
              </w:rPr>
            </w:pPr>
          </w:p>
        </w:tc>
      </w:tr>
      <w:tr w:rsidR="00271DD6" w:rsidRPr="007629B9" w:rsidTr="000712D9">
        <w:trPr>
          <w:trHeight w:val="615"/>
        </w:trPr>
        <w:tc>
          <w:tcPr>
            <w:tcW w:w="6740" w:type="dxa"/>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Μηνιαίο Τέλος Πρόσβασης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από Φ/Σ</w:t>
            </w:r>
          </w:p>
        </w:tc>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152,04 €</w:t>
            </w:r>
          </w:p>
        </w:tc>
      </w:tr>
      <w:tr w:rsidR="00271DD6" w:rsidRPr="007629B9" w:rsidTr="000712D9">
        <w:trPr>
          <w:trHeight w:val="300"/>
        </w:trPr>
        <w:tc>
          <w:tcPr>
            <w:tcW w:w="1500" w:type="dxa"/>
            <w:tcBorders>
              <w:top w:val="nil"/>
              <w:left w:val="nil"/>
              <w:bottom w:val="nil"/>
              <w:right w:val="nil"/>
            </w:tcBorders>
            <w:shd w:val="clear" w:color="auto" w:fill="auto"/>
            <w:noWrap/>
            <w:vAlign w:val="bottom"/>
            <w:hideMark/>
          </w:tcPr>
          <w:p w:rsidR="00271DD6" w:rsidRPr="007629B9" w:rsidRDefault="00271DD6" w:rsidP="000712D9">
            <w:pPr>
              <w:jc w:val="center"/>
              <w:rPr>
                <w:rFonts w:ascii="Arial" w:hAnsi="Arial" w:cs="Arial"/>
                <w:color w:val="000000"/>
                <w:sz w:val="20"/>
                <w:szCs w:val="20"/>
              </w:rPr>
            </w:pPr>
          </w:p>
        </w:tc>
        <w:tc>
          <w:tcPr>
            <w:tcW w:w="304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c>
          <w:tcPr>
            <w:tcW w:w="2280" w:type="dxa"/>
            <w:tcBorders>
              <w:top w:val="nil"/>
              <w:left w:val="nil"/>
              <w:bottom w:val="nil"/>
              <w:right w:val="nil"/>
            </w:tcBorders>
            <w:shd w:val="clear" w:color="auto" w:fill="auto"/>
            <w:noWrap/>
            <w:vAlign w:val="bottom"/>
            <w:hideMark/>
          </w:tcPr>
          <w:p w:rsidR="00271DD6" w:rsidRPr="007629B9" w:rsidRDefault="00271DD6" w:rsidP="000712D9">
            <w:pPr>
              <w:rPr>
                <w:rFonts w:ascii="Arial" w:hAnsi="Arial" w:cs="Arial"/>
                <w:sz w:val="20"/>
                <w:szCs w:val="20"/>
              </w:rPr>
            </w:pPr>
          </w:p>
        </w:tc>
      </w:tr>
      <w:tr w:rsidR="00271DD6" w:rsidRPr="007629B9" w:rsidTr="000712D9">
        <w:trPr>
          <w:trHeight w:val="315"/>
        </w:trPr>
        <w:tc>
          <w:tcPr>
            <w:tcW w:w="9020" w:type="dxa"/>
            <w:gridSpan w:val="4"/>
            <w:tcBorders>
              <w:top w:val="single" w:sz="8" w:space="0" w:color="auto"/>
              <w:left w:val="single" w:sz="8" w:space="0" w:color="auto"/>
              <w:bottom w:val="nil"/>
              <w:right w:val="single" w:sz="8" w:space="0" w:color="000000"/>
            </w:tcBorders>
            <w:shd w:val="clear" w:color="000000" w:fill="D9D9D9"/>
            <w:vAlign w:val="center"/>
            <w:hideMark/>
          </w:tcPr>
          <w:p w:rsidR="00271DD6" w:rsidRPr="007629B9" w:rsidRDefault="00271DD6" w:rsidP="000712D9">
            <w:pPr>
              <w:jc w:val="center"/>
              <w:rPr>
                <w:rFonts w:ascii="Arial" w:hAnsi="Arial" w:cs="Arial"/>
                <w:b/>
                <w:bCs/>
                <w:color w:val="000000"/>
                <w:sz w:val="20"/>
                <w:szCs w:val="20"/>
              </w:rPr>
            </w:pPr>
            <w:r w:rsidRPr="007629B9">
              <w:rPr>
                <w:rFonts w:ascii="Arial" w:hAnsi="Arial" w:cs="Arial"/>
                <w:b/>
                <w:bCs/>
                <w:color w:val="000000"/>
                <w:sz w:val="20"/>
                <w:szCs w:val="20"/>
              </w:rPr>
              <w:t xml:space="preserve">Δευτερεύοντα Τέλη Υπηρεσιών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w:t>
            </w:r>
          </w:p>
        </w:tc>
      </w:tr>
      <w:tr w:rsidR="00271DD6" w:rsidRPr="007629B9" w:rsidTr="000712D9">
        <w:trPr>
          <w:trHeight w:val="864"/>
        </w:trPr>
        <w:tc>
          <w:tcPr>
            <w:tcW w:w="6740" w:type="dxa"/>
            <w:gridSpan w:val="3"/>
            <w:tcBorders>
              <w:top w:val="single" w:sz="8"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Τέλος μεταφοράς πρόσβασης/προστασίας με χρήση ίδιου φορέα</w:t>
            </w:r>
          </w:p>
        </w:tc>
        <w:tc>
          <w:tcPr>
            <w:tcW w:w="22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το 50% του αντίστοιχου εφάπαξ τέλους ενεργοποίησης</w:t>
            </w:r>
          </w:p>
        </w:tc>
      </w:tr>
      <w:tr w:rsidR="00271DD6" w:rsidRPr="007629B9" w:rsidTr="000712D9">
        <w:trPr>
          <w:trHeight w:val="576"/>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Τέλος μεταφοράς πρόσβασης/προστασίας σε νέο φορέα</w:t>
            </w:r>
          </w:p>
        </w:tc>
        <w:tc>
          <w:tcPr>
            <w:tcW w:w="2280" w:type="dxa"/>
            <w:tcBorders>
              <w:top w:val="nil"/>
              <w:left w:val="single" w:sz="8" w:space="0" w:color="auto"/>
              <w:bottom w:val="single" w:sz="4" w:space="0" w:color="auto"/>
              <w:right w:val="single" w:sz="8" w:space="0" w:color="auto"/>
            </w:tcBorders>
            <w:shd w:val="clear" w:color="auto" w:fill="auto"/>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το αντίστοιχο εφάπαξ τέλος ενεργοποίησης</w:t>
            </w:r>
          </w:p>
        </w:tc>
      </w:tr>
      <w:tr w:rsidR="00271DD6" w:rsidRPr="007629B9" w:rsidTr="000712D9">
        <w:trPr>
          <w:trHeight w:val="864"/>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Τέλος αλλαγής χωρητικότητας πρόσβασης/προστασίας με χρήση ίδιας τεχνολογίας</w:t>
            </w:r>
          </w:p>
        </w:tc>
        <w:tc>
          <w:tcPr>
            <w:tcW w:w="2280" w:type="dxa"/>
            <w:tcBorders>
              <w:top w:val="nil"/>
              <w:left w:val="single" w:sz="8" w:space="0" w:color="auto"/>
              <w:bottom w:val="single" w:sz="4" w:space="0" w:color="auto"/>
              <w:right w:val="single" w:sz="8" w:space="0" w:color="auto"/>
            </w:tcBorders>
            <w:shd w:val="clear" w:color="auto" w:fill="auto"/>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το 50% του αντίστοιχου εφάπαξ τέλους ενεργοποίησης</w:t>
            </w:r>
          </w:p>
        </w:tc>
      </w:tr>
      <w:tr w:rsidR="00271DD6" w:rsidRPr="007629B9" w:rsidTr="000712D9">
        <w:trPr>
          <w:trHeight w:val="576"/>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Τέλος μετατροπής τεχνολογίας πρόσβασης</w:t>
            </w:r>
          </w:p>
        </w:tc>
        <w:tc>
          <w:tcPr>
            <w:tcW w:w="2280" w:type="dxa"/>
            <w:tcBorders>
              <w:top w:val="nil"/>
              <w:left w:val="single" w:sz="8" w:space="0" w:color="auto"/>
              <w:bottom w:val="single" w:sz="4" w:space="0" w:color="auto"/>
              <w:right w:val="single" w:sz="8" w:space="0" w:color="auto"/>
            </w:tcBorders>
            <w:shd w:val="clear" w:color="auto" w:fill="auto"/>
            <w:vAlign w:val="center"/>
            <w:hideMark/>
          </w:tcPr>
          <w:p w:rsidR="00271DD6" w:rsidRPr="007629B9" w:rsidRDefault="00271DD6" w:rsidP="000712D9">
            <w:pPr>
              <w:jc w:val="right"/>
              <w:rPr>
                <w:rFonts w:ascii="Arial" w:hAnsi="Arial" w:cs="Arial"/>
                <w:color w:val="000000"/>
                <w:sz w:val="20"/>
                <w:szCs w:val="20"/>
              </w:rPr>
            </w:pPr>
            <w:r w:rsidRPr="007629B9">
              <w:rPr>
                <w:rFonts w:ascii="Arial" w:hAnsi="Arial" w:cs="Arial"/>
                <w:color w:val="000000"/>
                <w:sz w:val="20"/>
                <w:szCs w:val="20"/>
              </w:rPr>
              <w:t>το αντίστοιχο εφάπαξ τέλος ενεργοποίησης</w:t>
            </w:r>
          </w:p>
        </w:tc>
      </w:tr>
      <w:tr w:rsidR="00271DD6" w:rsidRPr="007629B9" w:rsidTr="000712D9">
        <w:trPr>
          <w:trHeight w:val="600"/>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Μεταβολής Ταχύτητας Κυκλώματος </w:t>
            </w:r>
            <w:proofErr w:type="spellStart"/>
            <w:r w:rsidRPr="007629B9">
              <w:rPr>
                <w:rFonts w:ascii="Arial" w:hAnsi="Arial" w:cs="Arial"/>
                <w:b/>
                <w:bCs/>
                <w:color w:val="000000"/>
                <w:sz w:val="20"/>
                <w:szCs w:val="20"/>
              </w:rPr>
              <w:t>Ethernet</w:t>
            </w:r>
            <w:proofErr w:type="spellEnd"/>
            <w:r w:rsidRPr="007629B9">
              <w:rPr>
                <w:rFonts w:ascii="Arial" w:hAnsi="Arial" w:cs="Arial"/>
                <w:b/>
                <w:bCs/>
                <w:color w:val="000000"/>
                <w:sz w:val="20"/>
                <w:szCs w:val="20"/>
              </w:rPr>
              <w:t xml:space="preserve"> - ΕVC</w:t>
            </w:r>
          </w:p>
        </w:tc>
        <w:tc>
          <w:tcPr>
            <w:tcW w:w="2280" w:type="dxa"/>
            <w:tcBorders>
              <w:top w:val="nil"/>
              <w:left w:val="single" w:sz="8" w:space="0" w:color="auto"/>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113,04 €</w:t>
            </w:r>
          </w:p>
        </w:tc>
      </w:tr>
      <w:tr w:rsidR="00271DD6" w:rsidRPr="007629B9" w:rsidTr="000712D9">
        <w:trPr>
          <w:trHeight w:val="900"/>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άσκοπης μετάβασης Συνεργείου για την παράδοση/παραλαβή υπηρεσιών </w:t>
            </w:r>
            <w:proofErr w:type="spellStart"/>
            <w:r w:rsidRPr="007629B9">
              <w:rPr>
                <w:rFonts w:ascii="Arial" w:hAnsi="Arial" w:cs="Arial"/>
                <w:b/>
                <w:bCs/>
                <w:color w:val="000000"/>
                <w:sz w:val="20"/>
                <w:szCs w:val="20"/>
              </w:rPr>
              <w:t>Ethernet</w:t>
            </w:r>
            <w:proofErr w:type="spellEnd"/>
          </w:p>
        </w:tc>
        <w:tc>
          <w:tcPr>
            <w:tcW w:w="2280" w:type="dxa"/>
            <w:tcBorders>
              <w:top w:val="nil"/>
              <w:left w:val="single" w:sz="8" w:space="0" w:color="auto"/>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21,56 €</w:t>
            </w:r>
          </w:p>
        </w:tc>
      </w:tr>
      <w:tr w:rsidR="00271DD6" w:rsidRPr="007629B9" w:rsidTr="000712D9">
        <w:trPr>
          <w:trHeight w:val="600"/>
        </w:trPr>
        <w:tc>
          <w:tcPr>
            <w:tcW w:w="674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άσκοπης μετάβασης Συνεργείου για την άρση βλάβης </w:t>
            </w:r>
            <w:proofErr w:type="spellStart"/>
            <w:r w:rsidRPr="007629B9">
              <w:rPr>
                <w:rFonts w:ascii="Arial" w:hAnsi="Arial" w:cs="Arial"/>
                <w:b/>
                <w:bCs/>
                <w:color w:val="000000"/>
                <w:sz w:val="20"/>
                <w:szCs w:val="20"/>
              </w:rPr>
              <w:t>Ethernet</w:t>
            </w:r>
            <w:proofErr w:type="spellEnd"/>
          </w:p>
        </w:tc>
        <w:tc>
          <w:tcPr>
            <w:tcW w:w="2280" w:type="dxa"/>
            <w:tcBorders>
              <w:top w:val="nil"/>
              <w:left w:val="single" w:sz="8" w:space="0" w:color="auto"/>
              <w:bottom w:val="single" w:sz="4"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127,71 €</w:t>
            </w:r>
          </w:p>
        </w:tc>
      </w:tr>
      <w:tr w:rsidR="00271DD6" w:rsidRPr="007629B9" w:rsidTr="000712D9">
        <w:trPr>
          <w:trHeight w:val="900"/>
        </w:trPr>
        <w:tc>
          <w:tcPr>
            <w:tcW w:w="6740" w:type="dxa"/>
            <w:gridSpan w:val="3"/>
            <w:tcBorders>
              <w:top w:val="single" w:sz="4" w:space="0" w:color="auto"/>
              <w:left w:val="single" w:sz="8" w:space="0" w:color="auto"/>
              <w:bottom w:val="single" w:sz="8" w:space="0" w:color="auto"/>
              <w:right w:val="single" w:sz="4" w:space="0" w:color="auto"/>
            </w:tcBorders>
            <w:shd w:val="clear" w:color="000000" w:fill="D9D9D9"/>
            <w:vAlign w:val="center"/>
            <w:hideMark/>
          </w:tcPr>
          <w:p w:rsidR="00271DD6" w:rsidRPr="007629B9" w:rsidRDefault="00271DD6" w:rsidP="000712D9">
            <w:pPr>
              <w:rPr>
                <w:rFonts w:ascii="Arial" w:hAnsi="Arial" w:cs="Arial"/>
                <w:b/>
                <w:bCs/>
                <w:color w:val="000000"/>
                <w:sz w:val="20"/>
                <w:szCs w:val="20"/>
              </w:rPr>
            </w:pPr>
            <w:r w:rsidRPr="007629B9">
              <w:rPr>
                <w:rFonts w:ascii="Arial" w:hAnsi="Arial" w:cs="Arial"/>
                <w:b/>
                <w:bCs/>
                <w:color w:val="000000"/>
                <w:sz w:val="20"/>
                <w:szCs w:val="20"/>
              </w:rPr>
              <w:t xml:space="preserve">Τέλος άσκοπης απασχόλησης Συνεργείου για την άρση βλάβης </w:t>
            </w:r>
            <w:proofErr w:type="spellStart"/>
            <w:r w:rsidRPr="007629B9">
              <w:rPr>
                <w:rFonts w:ascii="Arial" w:hAnsi="Arial" w:cs="Arial"/>
                <w:b/>
                <w:bCs/>
                <w:color w:val="000000"/>
                <w:sz w:val="20"/>
                <w:szCs w:val="20"/>
              </w:rPr>
              <w:t>Ethernet</w:t>
            </w:r>
            <w:proofErr w:type="spellEnd"/>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rsidR="00271DD6" w:rsidRPr="007629B9" w:rsidRDefault="00271DD6" w:rsidP="000712D9">
            <w:pPr>
              <w:jc w:val="center"/>
              <w:rPr>
                <w:rFonts w:ascii="Arial" w:hAnsi="Arial" w:cs="Arial"/>
                <w:color w:val="000000"/>
                <w:sz w:val="20"/>
                <w:szCs w:val="20"/>
              </w:rPr>
            </w:pPr>
            <w:r w:rsidRPr="007629B9">
              <w:rPr>
                <w:rFonts w:ascii="Arial" w:hAnsi="Arial" w:cs="Arial"/>
                <w:color w:val="000000"/>
                <w:sz w:val="20"/>
                <w:szCs w:val="20"/>
              </w:rPr>
              <w:t>30,67 €</w:t>
            </w:r>
          </w:p>
        </w:tc>
      </w:tr>
    </w:tbl>
    <w:p w:rsidR="00271DD6" w:rsidRPr="007629B9" w:rsidRDefault="00271DD6" w:rsidP="00271DD6">
      <w:pPr>
        <w:spacing w:before="120" w:after="120" w:line="276" w:lineRule="auto"/>
        <w:ind w:left="495"/>
        <w:jc w:val="both"/>
        <w:rPr>
          <w:rFonts w:ascii="Arial" w:hAnsi="Arial" w:cs="Arial"/>
          <w:b/>
        </w:rPr>
      </w:pPr>
    </w:p>
    <w:p w:rsidR="00271DD6" w:rsidRPr="007629B9" w:rsidRDefault="00271DD6" w:rsidP="00271DD6">
      <w:pPr>
        <w:spacing w:before="120" w:after="120" w:line="276" w:lineRule="auto"/>
        <w:jc w:val="both"/>
        <w:rPr>
          <w:rFonts w:ascii="Arial" w:hAnsi="Arial" w:cs="Arial"/>
        </w:rPr>
      </w:pPr>
      <w:r w:rsidRPr="007629B9">
        <w:rPr>
          <w:rFonts w:ascii="Arial" w:hAnsi="Arial" w:cs="Arial"/>
        </w:rPr>
        <w:t xml:space="preserve">Για κάθε άλλο εφάπαξ τέλος υπηρεσιών μισθωμένων γραμμών </w:t>
      </w:r>
      <w:proofErr w:type="spellStart"/>
      <w:r w:rsidRPr="007629B9">
        <w:rPr>
          <w:rFonts w:ascii="Arial" w:hAnsi="Arial" w:cs="Arial"/>
        </w:rPr>
        <w:t>Ethernet</w:t>
      </w:r>
      <w:proofErr w:type="spellEnd"/>
      <w:r w:rsidRPr="007629B9">
        <w:rPr>
          <w:rFonts w:ascii="Arial" w:hAnsi="Arial" w:cs="Arial"/>
        </w:rPr>
        <w:t>, εφόσον δεν ορίζεται ρητά στους ανωτέρω πίνακες, ισχύει και εφαρμόζεται η τιμή που ορίζεται στην  ΑΠ ΕΕΤΤ 919/51/16.12.2019 «Αποτελέσματα Κοστολογικού Ελέγχου του Οργανισμού Τηλεπικοινωνιών της Ελλάδος Α.Ε. (ΟΤΕ Α.Ε.) έτους 2019 (με απολογιστικά στοιχεία 2017) για τις υπό ρύθμιση αγορές χονδρικής στις οποίες έχει επιβληθεί υποχρέωση ελέγχου τιμών, κοστολόγησης και λογιστικού διαχωρισμού» (ΦΕΚ 5185/Β/31.12.2019).</w:t>
      </w: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283501" w:rsidRDefault="00283501">
      <w:pPr>
        <w:rPr>
          <w:rFonts w:ascii="Arial" w:hAnsi="Arial" w:cs="Arial"/>
          <w:b/>
        </w:rPr>
      </w:pPr>
      <w:r>
        <w:rPr>
          <w:rFonts w:ascii="Arial" w:hAnsi="Arial" w:cs="Arial"/>
          <w:b/>
        </w:rPr>
        <w:br w:type="page"/>
      </w:r>
    </w:p>
    <w:p w:rsidR="004D4871" w:rsidRPr="007629B9" w:rsidRDefault="00AA447F" w:rsidP="004D4871">
      <w:pPr>
        <w:spacing w:before="120" w:after="120" w:line="276" w:lineRule="auto"/>
        <w:ind w:left="495"/>
        <w:jc w:val="both"/>
        <w:rPr>
          <w:rFonts w:ascii="Arial" w:hAnsi="Arial" w:cs="Arial"/>
          <w:b/>
        </w:rPr>
      </w:pPr>
      <w:bookmarkStart w:id="0" w:name="_GoBack"/>
      <w:bookmarkEnd w:id="0"/>
      <w:r>
        <w:rPr>
          <w:rFonts w:ascii="Arial" w:hAnsi="Arial" w:cs="Arial"/>
          <w:b/>
        </w:rPr>
        <w:t>Δ</w:t>
      </w:r>
      <w:r w:rsidR="004D4871" w:rsidRPr="007629B9">
        <w:rPr>
          <w:rFonts w:ascii="Arial" w:hAnsi="Arial" w:cs="Arial"/>
          <w:b/>
        </w:rPr>
        <w:t>. ΕΝΑΡΞΗ ΙΣΧΥΟΣ ΤΩΝ ΠΡΟΣΩΡΙΝΩΝ ΤΙΜΩΝ ΜΓ ΧΟΝΔΡΙΚΗΣ</w:t>
      </w:r>
      <w:r w:rsidR="000577C9" w:rsidRPr="007629B9">
        <w:rPr>
          <w:rFonts w:ascii="Arial" w:hAnsi="Arial" w:cs="Arial"/>
          <w:b/>
        </w:rPr>
        <w:t xml:space="preserve"> / ΠΡΟΤΑΣΗ ΟΤΕ</w:t>
      </w:r>
    </w:p>
    <w:p w:rsidR="004918B3" w:rsidRPr="007629B9" w:rsidRDefault="004918B3" w:rsidP="004918B3">
      <w:pPr>
        <w:jc w:val="both"/>
        <w:rPr>
          <w:rFonts w:ascii="Arial" w:hAnsi="Arial" w:cs="Arial"/>
        </w:rPr>
      </w:pPr>
      <w:r w:rsidRPr="007629B9">
        <w:rPr>
          <w:rFonts w:ascii="Arial" w:hAnsi="Arial" w:cs="Arial"/>
        </w:rPr>
        <w:t xml:space="preserve">Ο ΟΤΕ προτείνει </w:t>
      </w:r>
      <w:r w:rsidR="000577C9" w:rsidRPr="007629B9">
        <w:rPr>
          <w:rFonts w:ascii="Arial" w:hAnsi="Arial" w:cs="Arial"/>
        </w:rPr>
        <w:t xml:space="preserve"> (</w:t>
      </w:r>
      <w:proofErr w:type="spellStart"/>
      <w:r w:rsidR="000577C9" w:rsidRPr="007629B9">
        <w:rPr>
          <w:rFonts w:ascii="Arial" w:hAnsi="Arial" w:cs="Arial"/>
        </w:rPr>
        <w:t>σχετ</w:t>
      </w:r>
      <w:proofErr w:type="spellEnd"/>
      <w:r w:rsidR="000577C9" w:rsidRPr="007629B9">
        <w:rPr>
          <w:rFonts w:ascii="Arial" w:hAnsi="Arial" w:cs="Arial"/>
        </w:rPr>
        <w:t xml:space="preserve">. </w:t>
      </w:r>
      <w:proofErr w:type="spellStart"/>
      <w:r w:rsidR="000577C9" w:rsidRPr="007629B9">
        <w:rPr>
          <w:rFonts w:ascii="Arial" w:hAnsi="Arial" w:cs="Arial"/>
        </w:rPr>
        <w:t>κη</w:t>
      </w:r>
      <w:proofErr w:type="spellEnd"/>
      <w:r w:rsidR="000577C9" w:rsidRPr="007629B9">
        <w:rPr>
          <w:rFonts w:ascii="Arial" w:hAnsi="Arial" w:cs="Arial"/>
        </w:rPr>
        <w:t xml:space="preserve">) </w:t>
      </w:r>
      <w:r w:rsidRPr="007629B9">
        <w:rPr>
          <w:rFonts w:ascii="Arial" w:hAnsi="Arial" w:cs="Arial"/>
        </w:rPr>
        <w:t xml:space="preserve">να εφαρμοστεί ο νέος τιμοκατάλογος χονδρικής για τις υπηρεσίες και τα προϊόντα μισθωμένων γραμμών από την αρχή του έτους 2020, δεδομένου ότι οι προτεινόμενες τιμές είναι, σε κάθε περίπτωση, χαμηλότερες από τις ήδη εφαρμοζόμενες. </w:t>
      </w:r>
      <w:r w:rsidR="003C73F0" w:rsidRPr="007629B9">
        <w:rPr>
          <w:rFonts w:ascii="Arial" w:hAnsi="Arial" w:cs="Arial"/>
        </w:rPr>
        <w:t xml:space="preserve">Ο ΟΤΕ επισημαίνει επίσης ότι ο ΕΚΟΣ 2020 </w:t>
      </w:r>
      <w:r w:rsidRPr="007629B9">
        <w:rPr>
          <w:rFonts w:ascii="Arial" w:hAnsi="Arial" w:cs="Arial"/>
        </w:rPr>
        <w:t>δεν έχει προσαρμοστεί ώστε να περιλαμβάνει στοιχεία με βάση τον νέο ορισμό αγοράς ΜΓ καθώς δεν έχει λάβει υπόψη κυκλώματα VPN-</w:t>
      </w:r>
      <w:proofErr w:type="spellStart"/>
      <w:r w:rsidRPr="007629B9">
        <w:rPr>
          <w:rFonts w:ascii="Arial" w:hAnsi="Arial" w:cs="Arial"/>
        </w:rPr>
        <w:t>Ethernet</w:t>
      </w:r>
      <w:proofErr w:type="spellEnd"/>
      <w:r w:rsidRPr="007629B9">
        <w:rPr>
          <w:rFonts w:ascii="Arial" w:hAnsi="Arial" w:cs="Arial"/>
        </w:rPr>
        <w:t xml:space="preserve"> και DIA. </w:t>
      </w:r>
      <w:r w:rsidR="003C73F0" w:rsidRPr="007629B9">
        <w:rPr>
          <w:rFonts w:ascii="Arial" w:hAnsi="Arial" w:cs="Arial"/>
        </w:rPr>
        <w:t xml:space="preserve">Τέλος, </w:t>
      </w:r>
      <w:r w:rsidR="000577C9" w:rsidRPr="007629B9">
        <w:rPr>
          <w:rFonts w:ascii="Arial" w:hAnsi="Arial" w:cs="Arial"/>
        </w:rPr>
        <w:t xml:space="preserve">σύμφωνα με τον ΟΤΕ, </w:t>
      </w:r>
      <w:r w:rsidR="003C73F0" w:rsidRPr="007629B9">
        <w:rPr>
          <w:rFonts w:ascii="Arial" w:hAnsi="Arial" w:cs="Arial"/>
        </w:rPr>
        <w:t xml:space="preserve">η αναδρομική εφαρμογή των προτεινόμενων τιμών δεν έρχεται σε αντίθεση με την μεθοδολογία της ΕΕΤΤ, </w:t>
      </w:r>
      <w:r w:rsidRPr="007629B9">
        <w:rPr>
          <w:rFonts w:ascii="Arial" w:hAnsi="Arial" w:cs="Arial"/>
        </w:rPr>
        <w:t xml:space="preserve">η </w:t>
      </w:r>
      <w:r w:rsidR="003C73F0" w:rsidRPr="007629B9">
        <w:rPr>
          <w:rFonts w:ascii="Arial" w:hAnsi="Arial" w:cs="Arial"/>
        </w:rPr>
        <w:t xml:space="preserve">οποία </w:t>
      </w:r>
      <w:r w:rsidRPr="007629B9">
        <w:rPr>
          <w:rFonts w:ascii="Arial" w:hAnsi="Arial" w:cs="Arial"/>
        </w:rPr>
        <w:t>αφορά στοιχεία των προηγούμενων ετών</w:t>
      </w:r>
      <w:r w:rsidR="003C73F0" w:rsidRPr="007629B9">
        <w:rPr>
          <w:rFonts w:ascii="Arial" w:hAnsi="Arial" w:cs="Arial"/>
        </w:rPr>
        <w:t xml:space="preserve">, ενώ </w:t>
      </w:r>
      <w:r w:rsidRPr="007629B9">
        <w:rPr>
          <w:rFonts w:ascii="Arial" w:hAnsi="Arial" w:cs="Arial"/>
        </w:rPr>
        <w:t>επιπλέον θα παρέχει βεβαιότητα στην αγορά καθώς οι τιμές θα είναι σταθερές εντός του έτους.</w:t>
      </w:r>
    </w:p>
    <w:p w:rsidR="00F00C38" w:rsidRPr="007629B9" w:rsidRDefault="004918B3" w:rsidP="007609DC">
      <w:pPr>
        <w:jc w:val="both"/>
        <w:rPr>
          <w:rFonts w:ascii="Arial" w:hAnsi="Arial" w:cs="Arial"/>
        </w:rPr>
      </w:pPr>
      <w:r w:rsidRPr="007629B9">
        <w:rPr>
          <w:rFonts w:ascii="Arial" w:hAnsi="Arial" w:cs="Arial"/>
        </w:rPr>
        <w:t xml:space="preserve"> </w:t>
      </w: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F00C38" w:rsidRPr="007629B9" w:rsidRDefault="00F00C38" w:rsidP="007609DC">
      <w:pPr>
        <w:jc w:val="both"/>
      </w:pPr>
    </w:p>
    <w:p w:rsidR="004918B3" w:rsidRPr="007629B9" w:rsidRDefault="004918B3">
      <w:pPr>
        <w:rPr>
          <w:rFonts w:ascii="Arial" w:hAnsi="Arial" w:cs="Arial"/>
          <w:b/>
        </w:rPr>
      </w:pPr>
      <w:r w:rsidRPr="007629B9">
        <w:rPr>
          <w:rFonts w:ascii="Arial" w:hAnsi="Arial" w:cs="Arial"/>
          <w:b/>
        </w:rPr>
        <w:br w:type="page"/>
      </w:r>
    </w:p>
    <w:p w:rsidR="004918B3" w:rsidRPr="007629B9" w:rsidRDefault="004918B3" w:rsidP="003354F6">
      <w:pPr>
        <w:spacing w:before="120" w:after="120" w:line="276" w:lineRule="auto"/>
        <w:ind w:left="495"/>
        <w:jc w:val="both"/>
        <w:rPr>
          <w:rFonts w:ascii="Arial" w:hAnsi="Arial" w:cs="Arial"/>
          <w:b/>
        </w:rPr>
      </w:pPr>
      <w:r w:rsidRPr="007629B9">
        <w:rPr>
          <w:rFonts w:ascii="Arial" w:hAnsi="Arial" w:cs="Arial"/>
          <w:b/>
        </w:rPr>
        <w:t xml:space="preserve">Ε. ΕΡΩΤΗΣΕΙΣ </w:t>
      </w:r>
      <w:r w:rsidR="008E6D43" w:rsidRPr="007629B9">
        <w:rPr>
          <w:rFonts w:ascii="Arial" w:hAnsi="Arial" w:cs="Arial"/>
          <w:b/>
        </w:rPr>
        <w:t>ΔΗΜΟΣΙΑΣ ΔΙΑΒΟΥΛΕΥΣΗΣ</w:t>
      </w:r>
    </w:p>
    <w:p w:rsidR="00744153" w:rsidRPr="007629B9" w:rsidRDefault="00744153" w:rsidP="00283501">
      <w:pPr>
        <w:spacing w:before="120" w:after="120" w:line="276" w:lineRule="auto"/>
        <w:jc w:val="both"/>
        <w:rPr>
          <w:rFonts w:ascii="Arial" w:hAnsi="Arial" w:cs="Arial"/>
          <w:b/>
        </w:rPr>
      </w:pPr>
    </w:p>
    <w:p w:rsidR="00EA12EB" w:rsidRPr="007629B9" w:rsidRDefault="00EA12EB" w:rsidP="003354F6">
      <w:pPr>
        <w:spacing w:before="120" w:after="120" w:line="276" w:lineRule="auto"/>
        <w:ind w:left="495"/>
        <w:jc w:val="both"/>
        <w:rPr>
          <w:rFonts w:ascii="Arial" w:hAnsi="Arial" w:cs="Arial"/>
          <w:b/>
        </w:rPr>
      </w:pPr>
      <w:r w:rsidRPr="007629B9">
        <w:rPr>
          <w:rFonts w:ascii="Arial" w:hAnsi="Arial" w:cs="Arial"/>
          <w:b/>
        </w:rPr>
        <w:t>ΣΤΟΙΧΕΙΑ ΑΓΟΡΑΣ ΚΑΙ ΜΕΘΟΔΟΛΟΓΙΑ ΚΑΘΟΡΙΣΜΟΥ ΤΙΜΩΝ</w:t>
      </w:r>
    </w:p>
    <w:p w:rsidR="00F00C38" w:rsidRPr="007629B9" w:rsidRDefault="00EA12EB"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 xml:space="preserve">Συμφωνείτε με τα στοιχεία αγοράς που ζήτησε η ΕΕΤΤ από τους </w:t>
      </w:r>
      <w:proofErr w:type="spellStart"/>
      <w:r w:rsidRPr="007629B9">
        <w:rPr>
          <w:rFonts w:ascii="Arial" w:hAnsi="Arial" w:cs="Arial"/>
          <w:sz w:val="24"/>
          <w:szCs w:val="24"/>
        </w:rPr>
        <w:t>παρόχους</w:t>
      </w:r>
      <w:proofErr w:type="spellEnd"/>
      <w:r w:rsidRPr="007629B9">
        <w:rPr>
          <w:rFonts w:ascii="Arial" w:hAnsi="Arial" w:cs="Arial"/>
          <w:sz w:val="24"/>
          <w:szCs w:val="24"/>
        </w:rPr>
        <w:t>; Θεωρείτε ότι υπάρχουν και άλλα στοιχεία που όφειλε να λάβει υπόψη της η ΕΕΤΤ;</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 xml:space="preserve">Συμφωνείτε με τον υπολογισμό του ύψους του </w:t>
      </w:r>
      <w:r w:rsidRPr="007629B9">
        <w:rPr>
          <w:rFonts w:ascii="Arial" w:hAnsi="Arial" w:cs="Arial"/>
          <w:sz w:val="24"/>
          <w:szCs w:val="24"/>
          <w:lang w:val="en-US"/>
        </w:rPr>
        <w:t>retail</w:t>
      </w:r>
      <w:r w:rsidRPr="007629B9">
        <w:rPr>
          <w:rFonts w:ascii="Arial" w:hAnsi="Arial" w:cs="Arial"/>
          <w:sz w:val="24"/>
          <w:szCs w:val="24"/>
        </w:rPr>
        <w:t xml:space="preserve"> </w:t>
      </w:r>
      <w:r w:rsidRPr="007629B9">
        <w:rPr>
          <w:rFonts w:ascii="Arial" w:hAnsi="Arial" w:cs="Arial"/>
          <w:sz w:val="24"/>
          <w:szCs w:val="24"/>
          <w:lang w:val="en-US"/>
        </w:rPr>
        <w:t>increment</w:t>
      </w:r>
      <w:r w:rsidRPr="007629B9">
        <w:rPr>
          <w:rFonts w:ascii="Arial" w:hAnsi="Arial" w:cs="Arial"/>
          <w:sz w:val="24"/>
          <w:szCs w:val="24"/>
        </w:rPr>
        <w:t xml:space="preserve"> από τον ΕΚΟΣ 2019; </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Συμφωνείτε με τον τρόπο υπολογισμού των αποδεκτών τιμών λιανικής του ΟΤΕ;</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Συμφωνείτε με την χρήση των μεγεθών: «συνολικό έσοδο λιανικής για το σύνολο των πελατών σε σχέση με το κόστος χονδρικής των αντίστοιχων κυκλωμάτων» και «μέσες τιμές λιανικής ανά ταχύτητα σε σχέση με τις τιμές χονδρικής» για τον έλεγχο των χονδρικών τιμών του ΟΤΕ;</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Συμφωνείτε με την προτεινόμενη από την ΕΕΤΤ μεθοδολογία καθορισμού των τιμών για υπηρεσίες ΜΓ χονδρικής:</w:t>
      </w:r>
    </w:p>
    <w:p w:rsidR="003354F6" w:rsidRPr="007629B9" w:rsidRDefault="003354F6" w:rsidP="00744153">
      <w:pPr>
        <w:pStyle w:val="ac"/>
        <w:numPr>
          <w:ilvl w:val="1"/>
          <w:numId w:val="26"/>
        </w:numPr>
        <w:spacing w:after="240"/>
        <w:ind w:left="993" w:hanging="284"/>
        <w:jc w:val="both"/>
        <w:rPr>
          <w:rFonts w:ascii="Arial" w:hAnsi="Arial" w:cs="Arial"/>
          <w:sz w:val="24"/>
          <w:szCs w:val="24"/>
        </w:rPr>
      </w:pPr>
      <w:r w:rsidRPr="007629B9">
        <w:rPr>
          <w:rFonts w:ascii="Arial" w:hAnsi="Arial" w:cs="Arial"/>
          <w:sz w:val="24"/>
          <w:szCs w:val="24"/>
        </w:rPr>
        <w:t xml:space="preserve">Κυκλωμάτων </w:t>
      </w:r>
      <w:r w:rsidRPr="007629B9">
        <w:rPr>
          <w:rFonts w:ascii="Arial" w:hAnsi="Arial" w:cs="Arial"/>
          <w:sz w:val="24"/>
          <w:szCs w:val="24"/>
          <w:lang w:val="en-US"/>
        </w:rPr>
        <w:t>Ethernet</w:t>
      </w:r>
      <w:r w:rsidRPr="007629B9">
        <w:rPr>
          <w:rFonts w:ascii="Arial" w:hAnsi="Arial" w:cs="Arial"/>
          <w:sz w:val="24"/>
          <w:szCs w:val="24"/>
        </w:rPr>
        <w:t xml:space="preserve"> χωρητικότητας έως και 200 </w:t>
      </w:r>
      <w:r w:rsidRPr="007629B9">
        <w:rPr>
          <w:rFonts w:ascii="Arial" w:hAnsi="Arial" w:cs="Arial"/>
          <w:sz w:val="24"/>
          <w:szCs w:val="24"/>
          <w:lang w:val="en-US"/>
        </w:rPr>
        <w:t>Mbps</w:t>
      </w:r>
    </w:p>
    <w:p w:rsidR="003354F6" w:rsidRPr="007629B9" w:rsidRDefault="003354F6" w:rsidP="00744153">
      <w:pPr>
        <w:pStyle w:val="ac"/>
        <w:numPr>
          <w:ilvl w:val="1"/>
          <w:numId w:val="26"/>
        </w:numPr>
        <w:spacing w:after="240"/>
        <w:ind w:left="993" w:hanging="284"/>
        <w:jc w:val="both"/>
        <w:rPr>
          <w:rFonts w:ascii="Arial" w:hAnsi="Arial" w:cs="Arial"/>
          <w:sz w:val="24"/>
          <w:szCs w:val="24"/>
        </w:rPr>
      </w:pPr>
      <w:r w:rsidRPr="007629B9">
        <w:rPr>
          <w:rFonts w:ascii="Arial" w:hAnsi="Arial" w:cs="Arial"/>
          <w:sz w:val="24"/>
          <w:szCs w:val="24"/>
        </w:rPr>
        <w:t xml:space="preserve">Αστικών και Υπεραστικών κυκλωμάτων </w:t>
      </w:r>
      <w:r w:rsidRPr="007629B9">
        <w:rPr>
          <w:rFonts w:ascii="Arial" w:hAnsi="Arial" w:cs="Arial"/>
          <w:sz w:val="24"/>
          <w:szCs w:val="24"/>
          <w:lang w:val="en-US"/>
        </w:rPr>
        <w:t>Ethernet</w:t>
      </w:r>
    </w:p>
    <w:p w:rsidR="003354F6" w:rsidRPr="007629B9" w:rsidRDefault="003354F6" w:rsidP="00744153">
      <w:pPr>
        <w:pStyle w:val="ac"/>
        <w:numPr>
          <w:ilvl w:val="1"/>
          <w:numId w:val="26"/>
        </w:numPr>
        <w:spacing w:after="240"/>
        <w:ind w:left="993" w:hanging="284"/>
        <w:jc w:val="both"/>
        <w:rPr>
          <w:rFonts w:ascii="Arial" w:hAnsi="Arial" w:cs="Arial"/>
          <w:sz w:val="24"/>
          <w:szCs w:val="24"/>
        </w:rPr>
      </w:pPr>
      <w:r w:rsidRPr="007629B9">
        <w:rPr>
          <w:rFonts w:ascii="Arial" w:hAnsi="Arial" w:cs="Arial"/>
          <w:sz w:val="24"/>
          <w:szCs w:val="24"/>
        </w:rPr>
        <w:t xml:space="preserve">Ασύρματων κυκλωμάτων </w:t>
      </w:r>
      <w:r w:rsidRPr="007629B9">
        <w:rPr>
          <w:rFonts w:ascii="Arial" w:hAnsi="Arial" w:cs="Arial"/>
          <w:sz w:val="24"/>
          <w:szCs w:val="24"/>
          <w:lang w:val="en-US"/>
        </w:rPr>
        <w:t>Ethernet</w:t>
      </w:r>
    </w:p>
    <w:p w:rsidR="00683F3A" w:rsidRPr="007629B9" w:rsidRDefault="00683F3A" w:rsidP="003354F6">
      <w:pPr>
        <w:spacing w:before="120" w:after="120" w:line="276" w:lineRule="auto"/>
        <w:ind w:left="495"/>
        <w:jc w:val="both"/>
        <w:rPr>
          <w:rFonts w:ascii="Arial" w:hAnsi="Arial" w:cs="Arial"/>
          <w:b/>
        </w:rPr>
      </w:pPr>
    </w:p>
    <w:p w:rsidR="003354F6" w:rsidRPr="007629B9" w:rsidRDefault="003354F6" w:rsidP="003354F6">
      <w:pPr>
        <w:spacing w:before="120" w:after="120" w:line="276" w:lineRule="auto"/>
        <w:ind w:left="495"/>
        <w:jc w:val="both"/>
        <w:rPr>
          <w:rFonts w:ascii="Arial" w:hAnsi="Arial" w:cs="Arial"/>
          <w:b/>
        </w:rPr>
      </w:pPr>
      <w:r w:rsidRPr="007629B9">
        <w:rPr>
          <w:rFonts w:ascii="Arial" w:hAnsi="Arial" w:cs="Arial"/>
          <w:b/>
        </w:rPr>
        <w:t xml:space="preserve">ΜΟΝΤΕΛΟ BOTTOM-UP ΥΠΟΛΟΓΙΣΜΟΥ ΤΕΛΩΝ ΑΠΟΡΡΙΨΗΣ ΕΚΠΟΝΗΣΗΣ ΤΕΧΝΙΚΗΣ ΠΡΟΜΕΛΕΤΗΣ ΓΙΑ ΚΥΚΛΩΜΑΤΑ ETHERNET ΚΑΙ ΚΥΚΛΩΜΑΤΑ ΑΣΥΡΜΑΤΗΣ ΠΡΟΣΒΑΣΗΣ </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 xml:space="preserve">Συμφωνείτε με τους χρόνους εργασίας ανά δραστηριότητα και το </w:t>
      </w:r>
      <w:proofErr w:type="spellStart"/>
      <w:r w:rsidRPr="007629B9">
        <w:rPr>
          <w:rFonts w:ascii="Arial" w:hAnsi="Arial" w:cs="Arial"/>
          <w:sz w:val="24"/>
          <w:szCs w:val="24"/>
        </w:rPr>
        <w:t>προκύπτον</w:t>
      </w:r>
      <w:proofErr w:type="spellEnd"/>
      <w:r w:rsidRPr="007629B9">
        <w:rPr>
          <w:rFonts w:ascii="Arial" w:hAnsi="Arial" w:cs="Arial"/>
          <w:sz w:val="24"/>
          <w:szCs w:val="24"/>
        </w:rPr>
        <w:t xml:space="preserve"> κόστος εργασίας που χρησιμοποιήθηκαν στο μοντέλο </w:t>
      </w:r>
      <w:r w:rsidRPr="007629B9">
        <w:rPr>
          <w:rFonts w:ascii="Arial" w:hAnsi="Arial" w:cs="Arial"/>
          <w:sz w:val="24"/>
          <w:szCs w:val="24"/>
          <w:lang w:val="en-US"/>
        </w:rPr>
        <w:t>bottom</w:t>
      </w:r>
      <w:r w:rsidRPr="007629B9">
        <w:rPr>
          <w:rFonts w:ascii="Arial" w:hAnsi="Arial" w:cs="Arial"/>
          <w:sz w:val="24"/>
          <w:szCs w:val="24"/>
        </w:rPr>
        <w:t xml:space="preserve"> </w:t>
      </w:r>
      <w:r w:rsidRPr="007629B9">
        <w:rPr>
          <w:rFonts w:ascii="Arial" w:hAnsi="Arial" w:cs="Arial"/>
          <w:sz w:val="24"/>
          <w:szCs w:val="24"/>
          <w:lang w:val="en-US"/>
        </w:rPr>
        <w:t>up</w:t>
      </w:r>
      <w:r w:rsidRPr="007629B9">
        <w:rPr>
          <w:rFonts w:ascii="Arial" w:hAnsi="Arial" w:cs="Arial"/>
          <w:sz w:val="24"/>
          <w:szCs w:val="24"/>
        </w:rPr>
        <w:t>;</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Έχετε κάποια παρατήρηση στο μοντέλο;</w:t>
      </w:r>
    </w:p>
    <w:p w:rsidR="00683F3A" w:rsidRPr="007629B9" w:rsidRDefault="00683F3A" w:rsidP="003354F6">
      <w:pPr>
        <w:spacing w:before="120" w:after="120"/>
        <w:ind w:left="567"/>
        <w:jc w:val="both"/>
        <w:rPr>
          <w:rFonts w:ascii="Arial" w:hAnsi="Arial" w:cs="Arial"/>
          <w:b/>
        </w:rPr>
      </w:pPr>
    </w:p>
    <w:p w:rsidR="003354F6" w:rsidRPr="007629B9" w:rsidRDefault="003354F6" w:rsidP="003354F6">
      <w:pPr>
        <w:spacing w:before="120" w:after="120"/>
        <w:ind w:left="567"/>
        <w:jc w:val="both"/>
        <w:rPr>
          <w:rFonts w:ascii="Arial" w:hAnsi="Arial" w:cs="Arial"/>
          <w:b/>
        </w:rPr>
      </w:pPr>
      <w:r w:rsidRPr="007629B9">
        <w:rPr>
          <w:rFonts w:ascii="Arial" w:hAnsi="Arial" w:cs="Arial"/>
          <w:b/>
        </w:rPr>
        <w:t>ΠΡΟΣΩΡΙΝΕΣ ΤΙΜΕΣ ΤΩΝ ΥΠΟ ΡΥΘΜΙΣΗ ΠΡΟΪΟΝΤΩΝ ΚΑΙ ΥΠΗΡΕΣΙΩΝ ΤΩΝ ΑΓΟΡΩΝ ΜΓ ΧΟΝΔΡΙΚΗΣ</w:t>
      </w:r>
    </w:p>
    <w:p w:rsidR="003354F6" w:rsidRPr="007629B9" w:rsidRDefault="003354F6" w:rsidP="00744153">
      <w:pPr>
        <w:pStyle w:val="ac"/>
        <w:numPr>
          <w:ilvl w:val="0"/>
          <w:numId w:val="26"/>
        </w:numPr>
        <w:spacing w:after="240"/>
        <w:jc w:val="both"/>
        <w:rPr>
          <w:rFonts w:ascii="Arial" w:hAnsi="Arial" w:cs="Arial"/>
          <w:sz w:val="24"/>
          <w:szCs w:val="24"/>
        </w:rPr>
      </w:pPr>
      <w:r w:rsidRPr="007629B9">
        <w:rPr>
          <w:rFonts w:ascii="Arial" w:hAnsi="Arial" w:cs="Arial"/>
          <w:sz w:val="24"/>
          <w:szCs w:val="24"/>
        </w:rPr>
        <w:t>Έχετε κάποια παρατήρηση αναφορικά με την πληρότητα των πινάκων καθορισμού τιμών ή το ύψος των τιμών;</w:t>
      </w:r>
    </w:p>
    <w:p w:rsidR="00683F3A" w:rsidRPr="007629B9" w:rsidRDefault="00683F3A" w:rsidP="00744153">
      <w:pPr>
        <w:spacing w:after="240" w:line="276" w:lineRule="auto"/>
        <w:ind w:left="567"/>
        <w:contextualSpacing/>
        <w:jc w:val="both"/>
        <w:rPr>
          <w:rFonts w:ascii="Arial" w:hAnsi="Arial" w:cs="Arial"/>
          <w:b/>
        </w:rPr>
      </w:pPr>
    </w:p>
    <w:p w:rsidR="003354F6" w:rsidRPr="007629B9" w:rsidRDefault="003354F6" w:rsidP="003354F6">
      <w:pPr>
        <w:spacing w:before="120" w:after="120"/>
        <w:ind w:left="567"/>
        <w:jc w:val="both"/>
        <w:rPr>
          <w:rFonts w:ascii="Arial" w:hAnsi="Arial" w:cs="Arial"/>
          <w:b/>
        </w:rPr>
      </w:pPr>
      <w:r w:rsidRPr="007629B9">
        <w:rPr>
          <w:rFonts w:ascii="Arial" w:hAnsi="Arial" w:cs="Arial"/>
          <w:b/>
        </w:rPr>
        <w:t>ΕΝΑΡΞΗ ΙΣΧΥΟΣ ΤΩΝ ΠΡΟΣΩΡΙΝΩΝ ΤΙΜΩΝ ΜΓ ΧΟΝΔΡΙΚΗΣ</w:t>
      </w:r>
    </w:p>
    <w:p w:rsidR="003354F6" w:rsidRPr="007629B9" w:rsidRDefault="008853F6" w:rsidP="003354F6">
      <w:pPr>
        <w:pStyle w:val="ac"/>
        <w:numPr>
          <w:ilvl w:val="0"/>
          <w:numId w:val="26"/>
        </w:numPr>
        <w:jc w:val="both"/>
        <w:rPr>
          <w:rFonts w:ascii="Arial" w:hAnsi="Arial" w:cs="Arial"/>
          <w:sz w:val="24"/>
          <w:szCs w:val="24"/>
        </w:rPr>
      </w:pPr>
      <w:r w:rsidRPr="007629B9">
        <w:rPr>
          <w:rFonts w:ascii="Arial" w:hAnsi="Arial" w:cs="Arial"/>
          <w:sz w:val="24"/>
          <w:szCs w:val="24"/>
        </w:rPr>
        <w:t>Συμφωνείτε με την πρόταση του ΟΤΕ να εφαρμοσθούν οι τιμές του προσωρινού καταλόγου από 1/1/2020</w:t>
      </w:r>
      <w:r w:rsidR="003354F6" w:rsidRPr="007629B9">
        <w:rPr>
          <w:rFonts w:ascii="Arial" w:hAnsi="Arial" w:cs="Arial"/>
          <w:sz w:val="24"/>
          <w:szCs w:val="24"/>
        </w:rPr>
        <w:t>; Τεκμηριώστε τη θέση σας.</w:t>
      </w:r>
    </w:p>
    <w:p w:rsidR="00416405" w:rsidRPr="007629B9" w:rsidRDefault="00416405" w:rsidP="00416405">
      <w:pPr>
        <w:pStyle w:val="a6"/>
        <w:spacing w:before="120" w:line="276" w:lineRule="auto"/>
        <w:jc w:val="both"/>
        <w:rPr>
          <w:rFonts w:ascii="Arial" w:hAnsi="Arial" w:cs="Arial"/>
          <w:b w:val="0"/>
          <w:bCs w:val="0"/>
        </w:rPr>
      </w:pPr>
    </w:p>
    <w:p w:rsidR="00713082" w:rsidRPr="007629B9" w:rsidRDefault="00416405" w:rsidP="00B56001">
      <w:pPr>
        <w:pStyle w:val="a6"/>
        <w:spacing w:before="120" w:line="276" w:lineRule="auto"/>
        <w:jc w:val="both"/>
        <w:rPr>
          <w:rFonts w:ascii="Arial" w:hAnsi="Arial" w:cs="Arial"/>
          <w:b w:val="0"/>
        </w:rPr>
      </w:pPr>
      <w:r w:rsidRPr="007629B9">
        <w:rPr>
          <w:rFonts w:ascii="Arial" w:hAnsi="Arial" w:cs="Arial"/>
        </w:rPr>
        <w:t xml:space="preserve">              </w:t>
      </w:r>
      <w:r w:rsidR="00901C3F">
        <w:rPr>
          <w:rFonts w:ascii="Arial" w:hAnsi="Arial" w:cs="Arial"/>
        </w:rPr>
        <w:tab/>
      </w:r>
      <w:r w:rsidR="00901C3F">
        <w:rPr>
          <w:rFonts w:ascii="Arial" w:hAnsi="Arial" w:cs="Arial"/>
        </w:rPr>
        <w:tab/>
      </w:r>
      <w:r w:rsidR="00901C3F">
        <w:rPr>
          <w:rFonts w:ascii="Arial" w:hAnsi="Arial" w:cs="Arial"/>
        </w:rPr>
        <w:tab/>
      </w:r>
      <w:r w:rsidR="00901C3F">
        <w:rPr>
          <w:rFonts w:ascii="Arial" w:hAnsi="Arial" w:cs="Arial"/>
        </w:rPr>
        <w:tab/>
      </w:r>
    </w:p>
    <w:sectPr w:rsidR="00713082" w:rsidRPr="007629B9" w:rsidSect="0072471D">
      <w:headerReference w:type="default" r:id="rId11"/>
      <w:footerReference w:type="default" r:id="rId12"/>
      <w:headerReference w:type="first" r:id="rId13"/>
      <w:footerReference w:type="first" r:id="rId14"/>
      <w:pgSz w:w="11906" w:h="16838"/>
      <w:pgMar w:top="1440" w:right="127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F7" w:rsidRDefault="006D7EF7">
      <w:r>
        <w:separator/>
      </w:r>
    </w:p>
  </w:endnote>
  <w:endnote w:type="continuationSeparator" w:id="0">
    <w:p w:rsidR="006D7EF7" w:rsidRDefault="006D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F7" w:rsidRPr="00401A29" w:rsidRDefault="006D7EF7">
    <w:pPr>
      <w:pStyle w:val="a4"/>
    </w:pPr>
    <w:r>
      <w:tab/>
    </w:r>
    <w:r w:rsidRPr="00401A29">
      <w:t xml:space="preserve">Σελίδα </w:t>
    </w:r>
    <w:r w:rsidRPr="00401A29">
      <w:rPr>
        <w:bCs/>
      </w:rPr>
      <w:fldChar w:fldCharType="begin"/>
    </w:r>
    <w:r w:rsidRPr="00401A29">
      <w:rPr>
        <w:bCs/>
      </w:rPr>
      <w:instrText>PAGE</w:instrText>
    </w:r>
    <w:r w:rsidRPr="00401A29">
      <w:rPr>
        <w:bCs/>
      </w:rPr>
      <w:fldChar w:fldCharType="separate"/>
    </w:r>
    <w:r w:rsidR="00283501">
      <w:rPr>
        <w:bCs/>
        <w:noProof/>
      </w:rPr>
      <w:t>22</w:t>
    </w:r>
    <w:r w:rsidRPr="00401A29">
      <w:rPr>
        <w:bCs/>
      </w:rPr>
      <w:fldChar w:fldCharType="end"/>
    </w:r>
    <w:r w:rsidRPr="00401A29">
      <w:t xml:space="preserve"> από </w:t>
    </w:r>
    <w:r w:rsidRPr="00401A29">
      <w:rPr>
        <w:bCs/>
      </w:rPr>
      <w:fldChar w:fldCharType="begin"/>
    </w:r>
    <w:r w:rsidRPr="00401A29">
      <w:rPr>
        <w:bCs/>
      </w:rPr>
      <w:instrText>NUMPAGES</w:instrText>
    </w:r>
    <w:r w:rsidRPr="00401A29">
      <w:rPr>
        <w:bCs/>
      </w:rPr>
      <w:fldChar w:fldCharType="separate"/>
    </w:r>
    <w:r w:rsidR="00283501">
      <w:rPr>
        <w:bCs/>
        <w:noProof/>
      </w:rPr>
      <w:t>28</w:t>
    </w:r>
    <w:r w:rsidRPr="00401A29">
      <w:rPr>
        <w:bCs/>
      </w:rPr>
      <w:fldChar w:fldCharType="end"/>
    </w:r>
  </w:p>
  <w:p w:rsidR="006D7EF7" w:rsidRPr="00401A29" w:rsidRDefault="006D7EF7">
    <w:pPr>
      <w:pStyle w:val="a4"/>
      <w:tabs>
        <w:tab w:val="left" w:pos="6675"/>
      </w:tabs>
      <w:rPr>
        <w:sz w:val="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F7" w:rsidRDefault="006D7EF7">
    <w:pPr>
      <w:pStyle w:val="a4"/>
    </w:pPr>
    <w:r>
      <w:rPr>
        <w:noProof/>
      </w:rPr>
      <w:drawing>
        <wp:inline distT="0" distB="0" distL="0" distR="0">
          <wp:extent cx="5263515" cy="659765"/>
          <wp:effectExtent l="0" t="0" r="0" b="6985"/>
          <wp:docPr id="2" name="Εικόνα 2" descr="ADR_G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_GR1"/>
                  <pic:cNvPicPr>
                    <a:picLocks noChangeAspect="1" noChangeArrowheads="1"/>
                  </pic:cNvPicPr>
                </pic:nvPicPr>
                <pic:blipFill>
                  <a:blip r:embed="rId1">
                    <a:extLst>
                      <a:ext uri="{28A0092B-C50C-407E-A947-70E740481C1C}">
                        <a14:useLocalDpi xmlns:a14="http://schemas.microsoft.com/office/drawing/2010/main" val="0"/>
                      </a:ext>
                    </a:extLst>
                  </a:blip>
                  <a:srcRect l="1613" r="3226" b="26137"/>
                  <a:stretch>
                    <a:fillRect/>
                  </a:stretch>
                </pic:blipFill>
                <pic:spPr bwMode="auto">
                  <a:xfrm>
                    <a:off x="0" y="0"/>
                    <a:ext cx="5263515" cy="6597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F7" w:rsidRDefault="006D7EF7">
      <w:r>
        <w:separator/>
      </w:r>
    </w:p>
  </w:footnote>
  <w:footnote w:type="continuationSeparator" w:id="0">
    <w:p w:rsidR="006D7EF7" w:rsidRDefault="006D7EF7">
      <w:r>
        <w:continuationSeparator/>
      </w:r>
    </w:p>
  </w:footnote>
  <w:footnote w:id="1">
    <w:p w:rsidR="006D7EF7" w:rsidRPr="00BD66CD" w:rsidRDefault="006D7EF7" w:rsidP="00F132EA">
      <w:pPr>
        <w:pStyle w:val="af1"/>
        <w:jc w:val="both"/>
      </w:pPr>
      <w:r>
        <w:rPr>
          <w:rStyle w:val="af2"/>
        </w:rPr>
        <w:footnoteRef/>
      </w:r>
      <w:r>
        <w:t xml:space="preserve"> </w:t>
      </w:r>
      <w:r w:rsidRPr="00BD66CD">
        <w:t xml:space="preserve">Επισυνάπτονται υποδείγματα των πινάκων που οφείλουν να συμπληρώσουν ο ΟΤΕ και οι εναλλακτικοί </w:t>
      </w:r>
      <w:proofErr w:type="spellStart"/>
      <w:r w:rsidRPr="00BD66CD">
        <w:t>πάροχοι</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F7" w:rsidRDefault="006D7EF7">
    <w:pPr>
      <w:pStyle w:val="a3"/>
    </w:pPr>
    <w:r>
      <w:t xml:space="preserve">      </w:t>
    </w:r>
    <w:r>
      <w:rPr>
        <w:noProof/>
      </w:rPr>
      <w:drawing>
        <wp:inline distT="0" distB="0" distL="0" distR="0">
          <wp:extent cx="2091055" cy="763270"/>
          <wp:effectExtent l="0" t="0" r="4445" b="0"/>
          <wp:docPr id="3" name="Εικόνα 3"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63270"/>
                  </a:xfrm>
                  <a:prstGeom prst="rect">
                    <a:avLst/>
                  </a:prstGeom>
                  <a:noFill/>
                  <a:ln>
                    <a:noFill/>
                  </a:ln>
                </pic:spPr>
              </pic:pic>
            </a:graphicData>
          </a:graphic>
        </wp:inline>
      </w:drawing>
    </w:r>
  </w:p>
  <w:p w:rsidR="006D7EF7" w:rsidRDefault="006D7E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F7" w:rsidRDefault="006D7EF7">
    <w:pPr>
      <w:pStyle w:val="a3"/>
    </w:pPr>
    <w:r>
      <w:rPr>
        <w:noProof/>
      </w:rPr>
      <w:drawing>
        <wp:inline distT="0" distB="0" distL="0" distR="0">
          <wp:extent cx="2091055" cy="763270"/>
          <wp:effectExtent l="0" t="0" r="4445" b="0"/>
          <wp:docPr id="1" name="Εικόνα 1"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63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AAE"/>
    <w:multiLevelType w:val="hybridMultilevel"/>
    <w:tmpl w:val="DA243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0B5059"/>
    <w:multiLevelType w:val="hybridMultilevel"/>
    <w:tmpl w:val="350440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1A2AFD"/>
    <w:multiLevelType w:val="hybridMultilevel"/>
    <w:tmpl w:val="EC4A7D42"/>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 w15:restartNumberingAfterBreak="0">
    <w:nsid w:val="08013846"/>
    <w:multiLevelType w:val="hybridMultilevel"/>
    <w:tmpl w:val="3A1CA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314B4"/>
    <w:multiLevelType w:val="multilevel"/>
    <w:tmpl w:val="BC1873BE"/>
    <w:lvl w:ilvl="0">
      <w:start w:val="1"/>
      <w:numFmt w:val="decimal"/>
      <w:lvlText w:val="%1"/>
      <w:lvlJc w:val="left"/>
      <w:pPr>
        <w:tabs>
          <w:tab w:val="num" w:pos="495"/>
        </w:tabs>
        <w:ind w:left="495" w:hanging="495"/>
      </w:pPr>
      <w:rPr>
        <w:rFonts w:ascii="Tahoma" w:hAnsi="Tahoma" w:cs="Tahoma" w:hint="default"/>
        <w:b w:val="0"/>
        <w:i w:val="0"/>
        <w:sz w:val="22"/>
      </w:rPr>
    </w:lvl>
    <w:lvl w:ilvl="1">
      <w:start w:val="1"/>
      <w:numFmt w:val="decimal"/>
      <w:lvlText w:val="%1.%2"/>
      <w:lvlJc w:val="left"/>
      <w:pPr>
        <w:tabs>
          <w:tab w:val="num" w:pos="495"/>
        </w:tabs>
        <w:ind w:left="495" w:hanging="495"/>
      </w:pPr>
      <w:rPr>
        <w:rFonts w:ascii="Tahoma" w:hAnsi="Tahoma" w:cs="Tahoma" w:hint="default"/>
        <w:b w:val="0"/>
        <w:i w:val="0"/>
        <w:sz w:val="22"/>
      </w:rPr>
    </w:lvl>
    <w:lvl w:ilvl="2">
      <w:start w:val="1"/>
      <w:numFmt w:val="decimal"/>
      <w:lvlText w:val="%1.%2.%3"/>
      <w:lvlJc w:val="left"/>
      <w:pPr>
        <w:tabs>
          <w:tab w:val="num" w:pos="1146"/>
        </w:tabs>
        <w:ind w:left="1146"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abstractNum w:abstractNumId="5" w15:restartNumberingAfterBreak="0">
    <w:nsid w:val="0D3E46E4"/>
    <w:multiLevelType w:val="hybridMultilevel"/>
    <w:tmpl w:val="5B7AAB98"/>
    <w:lvl w:ilvl="0" w:tplc="04080001">
      <w:start w:val="1"/>
      <w:numFmt w:val="bullet"/>
      <w:lvlText w:val=""/>
      <w:lvlJc w:val="left"/>
      <w:pPr>
        <w:ind w:left="1080" w:hanging="360"/>
      </w:pPr>
      <w:rPr>
        <w:rFonts w:ascii="Symbol" w:hAnsi="Symbol" w:hint="default"/>
      </w:rPr>
    </w:lvl>
    <w:lvl w:ilvl="1" w:tplc="980EC370">
      <w:numFmt w:val="bullet"/>
      <w:lvlText w:val="•"/>
      <w:lvlJc w:val="left"/>
      <w:pPr>
        <w:ind w:left="2145" w:hanging="705"/>
      </w:pPr>
      <w:rPr>
        <w:rFonts w:ascii="Arial" w:eastAsia="Times New Roman" w:hAnsi="Arial" w:cs="Aria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0F528A8"/>
    <w:multiLevelType w:val="hybridMultilevel"/>
    <w:tmpl w:val="24D6A89E"/>
    <w:lvl w:ilvl="0" w:tplc="98D0F282">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38516A"/>
    <w:multiLevelType w:val="hybridMultilevel"/>
    <w:tmpl w:val="44FE5778"/>
    <w:lvl w:ilvl="0" w:tplc="04080001">
      <w:start w:val="1"/>
      <w:numFmt w:val="bullet"/>
      <w:lvlText w:val=""/>
      <w:lvlJc w:val="left"/>
      <w:pPr>
        <w:ind w:left="1215" w:hanging="360"/>
      </w:pPr>
      <w:rPr>
        <w:rFonts w:ascii="Symbol" w:hAnsi="Symbo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8" w15:restartNumberingAfterBreak="0">
    <w:nsid w:val="120F0E83"/>
    <w:multiLevelType w:val="multilevel"/>
    <w:tmpl w:val="F1E46596"/>
    <w:lvl w:ilvl="0">
      <w:start w:val="1"/>
      <w:numFmt w:val="bullet"/>
      <w:lvlText w:val=""/>
      <w:lvlJc w:val="left"/>
      <w:pPr>
        <w:tabs>
          <w:tab w:val="num" w:pos="495"/>
        </w:tabs>
        <w:ind w:left="495" w:hanging="495"/>
      </w:pPr>
      <w:rPr>
        <w:rFonts w:ascii="Symbol" w:hAnsi="Symbol" w:hint="default"/>
        <w:b w:val="0"/>
        <w:i w:val="0"/>
        <w:sz w:val="22"/>
      </w:rPr>
    </w:lvl>
    <w:lvl w:ilvl="1">
      <w:start w:val="1"/>
      <w:numFmt w:val="bullet"/>
      <w:lvlText w:val=""/>
      <w:lvlJc w:val="left"/>
      <w:pPr>
        <w:tabs>
          <w:tab w:val="num" w:pos="495"/>
        </w:tabs>
        <w:ind w:left="495" w:hanging="495"/>
      </w:pPr>
      <w:rPr>
        <w:rFonts w:ascii="Symbol" w:hAnsi="Symbol" w:hint="default"/>
        <w:b w:val="0"/>
        <w:i w:val="0"/>
        <w:sz w:val="22"/>
      </w:rPr>
    </w:lvl>
    <w:lvl w:ilvl="2">
      <w:start w:val="1"/>
      <w:numFmt w:val="decimal"/>
      <w:lvlText w:val="%1.%2.%3"/>
      <w:lvlJc w:val="left"/>
      <w:pPr>
        <w:tabs>
          <w:tab w:val="num" w:pos="1146"/>
        </w:tabs>
        <w:ind w:left="1146"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abstractNum w:abstractNumId="9" w15:restartNumberingAfterBreak="0">
    <w:nsid w:val="1B3E3F7E"/>
    <w:multiLevelType w:val="hybridMultilevel"/>
    <w:tmpl w:val="D12ACF4C"/>
    <w:lvl w:ilvl="0" w:tplc="04080013">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B04B08"/>
    <w:multiLevelType w:val="hybridMultilevel"/>
    <w:tmpl w:val="DF7C4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627558"/>
    <w:multiLevelType w:val="hybridMultilevel"/>
    <w:tmpl w:val="D5920182"/>
    <w:lvl w:ilvl="0" w:tplc="0408000F">
      <w:start w:val="1"/>
      <w:numFmt w:val="decimal"/>
      <w:lvlText w:val="%1."/>
      <w:lvlJc w:val="left"/>
      <w:pPr>
        <w:ind w:left="720" w:hanging="360"/>
      </w:pPr>
      <w:rPr>
        <w:rFonts w:hint="default"/>
      </w:rPr>
    </w:lvl>
    <w:lvl w:ilvl="1" w:tplc="5114FD56">
      <w:numFmt w:val="bullet"/>
      <w:lvlText w:val="-"/>
      <w:lvlJc w:val="left"/>
      <w:pPr>
        <w:ind w:left="2160" w:hanging="1080"/>
      </w:pPr>
      <w:rPr>
        <w:rFonts w:ascii="Calibri" w:eastAsia="Calibri"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A07D09"/>
    <w:multiLevelType w:val="multilevel"/>
    <w:tmpl w:val="2B56CAA6"/>
    <w:lvl w:ilvl="0">
      <w:start w:val="1"/>
      <w:numFmt w:val="bullet"/>
      <w:lvlText w:val=""/>
      <w:lvlJc w:val="left"/>
      <w:pPr>
        <w:tabs>
          <w:tab w:val="num" w:pos="990"/>
        </w:tabs>
        <w:ind w:left="990" w:hanging="495"/>
      </w:pPr>
      <w:rPr>
        <w:rFonts w:ascii="Symbol" w:hAnsi="Symbol" w:hint="default"/>
        <w:b w:val="0"/>
        <w:i w:val="0"/>
        <w:sz w:val="22"/>
      </w:rPr>
    </w:lvl>
    <w:lvl w:ilvl="1">
      <w:start w:val="1"/>
      <w:numFmt w:val="decimal"/>
      <w:lvlText w:val="%1.%2"/>
      <w:lvlJc w:val="left"/>
      <w:pPr>
        <w:tabs>
          <w:tab w:val="num" w:pos="990"/>
        </w:tabs>
        <w:ind w:left="990" w:hanging="495"/>
      </w:pPr>
      <w:rPr>
        <w:rFonts w:ascii="Tahoma" w:hAnsi="Tahoma" w:cs="Tahoma" w:hint="default"/>
        <w:b w:val="0"/>
        <w:i w:val="0"/>
        <w:sz w:val="22"/>
      </w:rPr>
    </w:lvl>
    <w:lvl w:ilvl="2">
      <w:start w:val="1"/>
      <w:numFmt w:val="decimal"/>
      <w:lvlText w:val="%1.%2.%3"/>
      <w:lvlJc w:val="left"/>
      <w:pPr>
        <w:tabs>
          <w:tab w:val="num" w:pos="1641"/>
        </w:tabs>
        <w:ind w:left="1641" w:hanging="720"/>
      </w:pPr>
      <w:rPr>
        <w:rFonts w:ascii="Tahoma" w:hAnsi="Tahoma" w:cs="Tahoma" w:hint="default"/>
        <w:sz w:val="22"/>
      </w:rPr>
    </w:lvl>
    <w:lvl w:ilvl="3">
      <w:start w:val="1"/>
      <w:numFmt w:val="decimal"/>
      <w:lvlText w:val="%1.%2.6.%4"/>
      <w:lvlJc w:val="left"/>
      <w:pPr>
        <w:tabs>
          <w:tab w:val="num" w:pos="1215"/>
        </w:tabs>
        <w:ind w:left="1215" w:hanging="720"/>
      </w:pPr>
      <w:rPr>
        <w:rFonts w:ascii="Tahoma" w:hAnsi="Tahoma" w:cs="Tahoma" w:hint="default"/>
        <w:sz w:val="22"/>
      </w:rPr>
    </w:lvl>
    <w:lvl w:ilvl="4">
      <w:start w:val="1"/>
      <w:numFmt w:val="decimal"/>
      <w:lvlText w:val="%1.%2.%3.%4.%5"/>
      <w:lvlJc w:val="left"/>
      <w:pPr>
        <w:tabs>
          <w:tab w:val="num" w:pos="1575"/>
        </w:tabs>
        <w:ind w:left="1575" w:hanging="1080"/>
      </w:pPr>
      <w:rPr>
        <w:rFonts w:ascii="Tahoma" w:hAnsi="Tahoma" w:cs="Tahoma" w:hint="default"/>
        <w:sz w:val="22"/>
      </w:rPr>
    </w:lvl>
    <w:lvl w:ilvl="5">
      <w:start w:val="1"/>
      <w:numFmt w:val="decimal"/>
      <w:lvlText w:val="%1.%2.%3.%4.%5.%6"/>
      <w:lvlJc w:val="left"/>
      <w:pPr>
        <w:tabs>
          <w:tab w:val="num" w:pos="1935"/>
        </w:tabs>
        <w:ind w:left="1935" w:hanging="1440"/>
      </w:pPr>
      <w:rPr>
        <w:rFonts w:ascii="Tahoma" w:hAnsi="Tahoma" w:cs="Tahoma" w:hint="default"/>
        <w:sz w:val="22"/>
      </w:rPr>
    </w:lvl>
    <w:lvl w:ilvl="6">
      <w:start w:val="1"/>
      <w:numFmt w:val="decimal"/>
      <w:lvlText w:val="%1.%2.%3.%4.%5.%6.%7"/>
      <w:lvlJc w:val="left"/>
      <w:pPr>
        <w:tabs>
          <w:tab w:val="num" w:pos="1935"/>
        </w:tabs>
        <w:ind w:left="1935" w:hanging="1440"/>
      </w:pPr>
      <w:rPr>
        <w:rFonts w:ascii="Tahoma" w:hAnsi="Tahoma" w:cs="Tahoma" w:hint="default"/>
        <w:sz w:val="22"/>
      </w:rPr>
    </w:lvl>
    <w:lvl w:ilvl="7">
      <w:start w:val="1"/>
      <w:numFmt w:val="decimal"/>
      <w:lvlText w:val="%1.%2.%3.%4.%5.%6.%7.%8"/>
      <w:lvlJc w:val="left"/>
      <w:pPr>
        <w:tabs>
          <w:tab w:val="num" w:pos="2295"/>
        </w:tabs>
        <w:ind w:left="2295" w:hanging="1800"/>
      </w:pPr>
      <w:rPr>
        <w:rFonts w:ascii="Tahoma" w:hAnsi="Tahoma" w:cs="Tahoma" w:hint="default"/>
        <w:sz w:val="22"/>
      </w:rPr>
    </w:lvl>
    <w:lvl w:ilvl="8">
      <w:start w:val="1"/>
      <w:numFmt w:val="decimal"/>
      <w:lvlText w:val="%1.%2.%3.%4.%5.%6.%7.%8.%9"/>
      <w:lvlJc w:val="left"/>
      <w:pPr>
        <w:tabs>
          <w:tab w:val="num" w:pos="2295"/>
        </w:tabs>
        <w:ind w:left="2295" w:hanging="1800"/>
      </w:pPr>
      <w:rPr>
        <w:rFonts w:ascii="Tahoma" w:hAnsi="Tahoma" w:cs="Tahoma" w:hint="default"/>
        <w:sz w:val="22"/>
      </w:rPr>
    </w:lvl>
  </w:abstractNum>
  <w:abstractNum w:abstractNumId="13" w15:restartNumberingAfterBreak="0">
    <w:nsid w:val="2E2A4CD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720309"/>
    <w:multiLevelType w:val="hybridMultilevel"/>
    <w:tmpl w:val="41AE139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31F7A30"/>
    <w:multiLevelType w:val="hybridMultilevel"/>
    <w:tmpl w:val="A6D85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6CB547F"/>
    <w:multiLevelType w:val="multilevel"/>
    <w:tmpl w:val="BC1873BE"/>
    <w:lvl w:ilvl="0">
      <w:start w:val="1"/>
      <w:numFmt w:val="decimal"/>
      <w:lvlText w:val="%1"/>
      <w:lvlJc w:val="left"/>
      <w:pPr>
        <w:tabs>
          <w:tab w:val="num" w:pos="495"/>
        </w:tabs>
        <w:ind w:left="495" w:hanging="495"/>
      </w:pPr>
      <w:rPr>
        <w:rFonts w:ascii="Tahoma" w:hAnsi="Tahoma" w:cs="Tahoma" w:hint="default"/>
        <w:b w:val="0"/>
        <w:i w:val="0"/>
        <w:sz w:val="22"/>
      </w:rPr>
    </w:lvl>
    <w:lvl w:ilvl="1">
      <w:start w:val="1"/>
      <w:numFmt w:val="decimal"/>
      <w:lvlText w:val="%1.%2"/>
      <w:lvlJc w:val="left"/>
      <w:pPr>
        <w:tabs>
          <w:tab w:val="num" w:pos="495"/>
        </w:tabs>
        <w:ind w:left="495" w:hanging="495"/>
      </w:pPr>
      <w:rPr>
        <w:rFonts w:ascii="Tahoma" w:hAnsi="Tahoma" w:cs="Tahoma" w:hint="default"/>
        <w:b w:val="0"/>
        <w:i w:val="0"/>
        <w:sz w:val="22"/>
      </w:rPr>
    </w:lvl>
    <w:lvl w:ilvl="2">
      <w:start w:val="1"/>
      <w:numFmt w:val="decimal"/>
      <w:lvlText w:val="%1.%2.%3"/>
      <w:lvlJc w:val="left"/>
      <w:pPr>
        <w:tabs>
          <w:tab w:val="num" w:pos="1146"/>
        </w:tabs>
        <w:ind w:left="1146"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abstractNum w:abstractNumId="17" w15:restartNumberingAfterBreak="0">
    <w:nsid w:val="382D64C1"/>
    <w:multiLevelType w:val="hybridMultilevel"/>
    <w:tmpl w:val="F5C2A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C5763D"/>
    <w:multiLevelType w:val="multilevel"/>
    <w:tmpl w:val="02ACFCF6"/>
    <w:lvl w:ilvl="0">
      <w:start w:val="1"/>
      <w:numFmt w:val="bullet"/>
      <w:lvlText w:val=""/>
      <w:lvlJc w:val="left"/>
      <w:pPr>
        <w:tabs>
          <w:tab w:val="num" w:pos="495"/>
        </w:tabs>
        <w:ind w:left="495" w:hanging="495"/>
      </w:pPr>
      <w:rPr>
        <w:rFonts w:ascii="Symbol" w:hAnsi="Symbol" w:hint="default"/>
        <w:b w:val="0"/>
        <w:i w:val="0"/>
        <w:sz w:val="22"/>
      </w:rPr>
    </w:lvl>
    <w:lvl w:ilvl="1">
      <w:start w:val="1"/>
      <w:numFmt w:val="decimal"/>
      <w:lvlText w:val="%1.%2"/>
      <w:lvlJc w:val="left"/>
      <w:pPr>
        <w:tabs>
          <w:tab w:val="num" w:pos="495"/>
        </w:tabs>
        <w:ind w:left="495" w:hanging="495"/>
      </w:pPr>
      <w:rPr>
        <w:rFonts w:ascii="Tahoma" w:hAnsi="Tahoma" w:cs="Tahoma" w:hint="default"/>
        <w:b w:val="0"/>
        <w:i w:val="0"/>
        <w:sz w:val="22"/>
      </w:rPr>
    </w:lvl>
    <w:lvl w:ilvl="2">
      <w:start w:val="1"/>
      <w:numFmt w:val="decimal"/>
      <w:lvlText w:val="%1.%2.%3"/>
      <w:lvlJc w:val="left"/>
      <w:pPr>
        <w:tabs>
          <w:tab w:val="num" w:pos="1146"/>
        </w:tabs>
        <w:ind w:left="1146"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abstractNum w:abstractNumId="19" w15:restartNumberingAfterBreak="0">
    <w:nsid w:val="43AF4599"/>
    <w:multiLevelType w:val="multilevel"/>
    <w:tmpl w:val="958A5660"/>
    <w:lvl w:ilvl="0">
      <w:start w:val="1"/>
      <w:numFmt w:val="bullet"/>
      <w:lvlText w:val=""/>
      <w:lvlJc w:val="left"/>
      <w:pPr>
        <w:tabs>
          <w:tab w:val="num" w:pos="954"/>
        </w:tabs>
        <w:ind w:left="954" w:hanging="495"/>
      </w:pPr>
      <w:rPr>
        <w:rFonts w:ascii="Symbol" w:hAnsi="Symbol" w:hint="default"/>
        <w:b w:val="0"/>
        <w:i w:val="0"/>
        <w:sz w:val="22"/>
      </w:rPr>
    </w:lvl>
    <w:lvl w:ilvl="1">
      <w:start w:val="1"/>
      <w:numFmt w:val="bullet"/>
      <w:lvlText w:val=""/>
      <w:lvlJc w:val="left"/>
      <w:pPr>
        <w:tabs>
          <w:tab w:val="num" w:pos="954"/>
        </w:tabs>
        <w:ind w:left="954" w:hanging="495"/>
      </w:pPr>
      <w:rPr>
        <w:rFonts w:ascii="Symbol" w:hAnsi="Symbol" w:hint="default"/>
        <w:b w:val="0"/>
        <w:i w:val="0"/>
        <w:sz w:val="22"/>
      </w:rPr>
    </w:lvl>
    <w:lvl w:ilvl="2">
      <w:start w:val="1"/>
      <w:numFmt w:val="decimal"/>
      <w:lvlText w:val="%1.%2.%3"/>
      <w:lvlJc w:val="left"/>
      <w:pPr>
        <w:tabs>
          <w:tab w:val="num" w:pos="1605"/>
        </w:tabs>
        <w:ind w:left="1605" w:hanging="720"/>
      </w:pPr>
      <w:rPr>
        <w:rFonts w:ascii="Tahoma" w:hAnsi="Tahoma" w:cs="Tahoma" w:hint="default"/>
        <w:sz w:val="22"/>
      </w:rPr>
    </w:lvl>
    <w:lvl w:ilvl="3">
      <w:start w:val="1"/>
      <w:numFmt w:val="decimal"/>
      <w:lvlText w:val="%1.%2.6.%4"/>
      <w:lvlJc w:val="left"/>
      <w:pPr>
        <w:tabs>
          <w:tab w:val="num" w:pos="1179"/>
        </w:tabs>
        <w:ind w:left="1179" w:hanging="720"/>
      </w:pPr>
      <w:rPr>
        <w:rFonts w:ascii="Tahoma" w:hAnsi="Tahoma" w:cs="Tahoma" w:hint="default"/>
        <w:sz w:val="22"/>
      </w:rPr>
    </w:lvl>
    <w:lvl w:ilvl="4">
      <w:start w:val="1"/>
      <w:numFmt w:val="decimal"/>
      <w:lvlText w:val="%1.%2.%3.%4.%5"/>
      <w:lvlJc w:val="left"/>
      <w:pPr>
        <w:tabs>
          <w:tab w:val="num" w:pos="1539"/>
        </w:tabs>
        <w:ind w:left="1539" w:hanging="1080"/>
      </w:pPr>
      <w:rPr>
        <w:rFonts w:ascii="Tahoma" w:hAnsi="Tahoma" w:cs="Tahoma" w:hint="default"/>
        <w:sz w:val="22"/>
      </w:rPr>
    </w:lvl>
    <w:lvl w:ilvl="5">
      <w:start w:val="1"/>
      <w:numFmt w:val="decimal"/>
      <w:lvlText w:val="%1.%2.%3.%4.%5.%6"/>
      <w:lvlJc w:val="left"/>
      <w:pPr>
        <w:tabs>
          <w:tab w:val="num" w:pos="1899"/>
        </w:tabs>
        <w:ind w:left="1899" w:hanging="1440"/>
      </w:pPr>
      <w:rPr>
        <w:rFonts w:ascii="Tahoma" w:hAnsi="Tahoma" w:cs="Tahoma" w:hint="default"/>
        <w:sz w:val="22"/>
      </w:rPr>
    </w:lvl>
    <w:lvl w:ilvl="6">
      <w:start w:val="1"/>
      <w:numFmt w:val="decimal"/>
      <w:lvlText w:val="%1.%2.%3.%4.%5.%6.%7"/>
      <w:lvlJc w:val="left"/>
      <w:pPr>
        <w:tabs>
          <w:tab w:val="num" w:pos="1899"/>
        </w:tabs>
        <w:ind w:left="1899" w:hanging="1440"/>
      </w:pPr>
      <w:rPr>
        <w:rFonts w:ascii="Tahoma" w:hAnsi="Tahoma" w:cs="Tahoma" w:hint="default"/>
        <w:sz w:val="22"/>
      </w:rPr>
    </w:lvl>
    <w:lvl w:ilvl="7">
      <w:start w:val="1"/>
      <w:numFmt w:val="decimal"/>
      <w:lvlText w:val="%1.%2.%3.%4.%5.%6.%7.%8"/>
      <w:lvlJc w:val="left"/>
      <w:pPr>
        <w:tabs>
          <w:tab w:val="num" w:pos="2259"/>
        </w:tabs>
        <w:ind w:left="2259" w:hanging="1800"/>
      </w:pPr>
      <w:rPr>
        <w:rFonts w:ascii="Tahoma" w:hAnsi="Tahoma" w:cs="Tahoma" w:hint="default"/>
        <w:sz w:val="22"/>
      </w:rPr>
    </w:lvl>
    <w:lvl w:ilvl="8">
      <w:start w:val="1"/>
      <w:numFmt w:val="decimal"/>
      <w:lvlText w:val="%1.%2.%3.%4.%5.%6.%7.%8.%9"/>
      <w:lvlJc w:val="left"/>
      <w:pPr>
        <w:tabs>
          <w:tab w:val="num" w:pos="2259"/>
        </w:tabs>
        <w:ind w:left="2259" w:hanging="1800"/>
      </w:pPr>
      <w:rPr>
        <w:rFonts w:ascii="Tahoma" w:hAnsi="Tahoma" w:cs="Tahoma" w:hint="default"/>
        <w:sz w:val="22"/>
      </w:rPr>
    </w:lvl>
  </w:abstractNum>
  <w:abstractNum w:abstractNumId="20" w15:restartNumberingAfterBreak="0">
    <w:nsid w:val="4B862335"/>
    <w:multiLevelType w:val="hybridMultilevel"/>
    <w:tmpl w:val="BF6E70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4AC15B3"/>
    <w:multiLevelType w:val="hybridMultilevel"/>
    <w:tmpl w:val="63DE9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F1E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7B37CF"/>
    <w:multiLevelType w:val="hybridMultilevel"/>
    <w:tmpl w:val="668EC2A0"/>
    <w:lvl w:ilvl="0" w:tplc="2AD48556">
      <w:start w:val="1"/>
      <w:numFmt w:val="bullet"/>
      <w:lvlText w:val=""/>
      <w:lvlJc w:val="left"/>
      <w:pPr>
        <w:ind w:left="114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2401C1"/>
    <w:multiLevelType w:val="multilevel"/>
    <w:tmpl w:val="02ACFCF6"/>
    <w:lvl w:ilvl="0">
      <w:start w:val="1"/>
      <w:numFmt w:val="bullet"/>
      <w:lvlText w:val=""/>
      <w:lvlJc w:val="left"/>
      <w:pPr>
        <w:tabs>
          <w:tab w:val="num" w:pos="495"/>
        </w:tabs>
        <w:ind w:left="495" w:hanging="495"/>
      </w:pPr>
      <w:rPr>
        <w:rFonts w:ascii="Symbol" w:hAnsi="Symbol" w:hint="default"/>
        <w:b w:val="0"/>
        <w:i w:val="0"/>
        <w:sz w:val="22"/>
      </w:rPr>
    </w:lvl>
    <w:lvl w:ilvl="1">
      <w:start w:val="1"/>
      <w:numFmt w:val="decimal"/>
      <w:lvlText w:val="%1.%2"/>
      <w:lvlJc w:val="left"/>
      <w:pPr>
        <w:tabs>
          <w:tab w:val="num" w:pos="495"/>
        </w:tabs>
        <w:ind w:left="495" w:hanging="495"/>
      </w:pPr>
      <w:rPr>
        <w:rFonts w:ascii="Tahoma" w:hAnsi="Tahoma" w:cs="Tahoma" w:hint="default"/>
        <w:b w:val="0"/>
        <w:i w:val="0"/>
        <w:sz w:val="22"/>
      </w:rPr>
    </w:lvl>
    <w:lvl w:ilvl="2">
      <w:start w:val="1"/>
      <w:numFmt w:val="decimal"/>
      <w:lvlText w:val="%1.%2.%3"/>
      <w:lvlJc w:val="left"/>
      <w:pPr>
        <w:tabs>
          <w:tab w:val="num" w:pos="1146"/>
        </w:tabs>
        <w:ind w:left="1146"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abstractNum w:abstractNumId="25" w15:restartNumberingAfterBreak="0">
    <w:nsid w:val="689F5C9A"/>
    <w:multiLevelType w:val="hybridMultilevel"/>
    <w:tmpl w:val="D12ACF4C"/>
    <w:lvl w:ilvl="0" w:tplc="04080013">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A13D7B"/>
    <w:multiLevelType w:val="hybridMultilevel"/>
    <w:tmpl w:val="B01A57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95A7FE8"/>
    <w:multiLevelType w:val="multilevel"/>
    <w:tmpl w:val="647A2C2E"/>
    <w:lvl w:ilvl="0">
      <w:start w:val="1"/>
      <w:numFmt w:val="bullet"/>
      <w:lvlText w:val=""/>
      <w:lvlJc w:val="left"/>
      <w:pPr>
        <w:tabs>
          <w:tab w:val="num" w:pos="990"/>
        </w:tabs>
        <w:ind w:left="990" w:hanging="495"/>
      </w:pPr>
      <w:rPr>
        <w:rFonts w:ascii="Symbol" w:hAnsi="Symbol" w:hint="default"/>
        <w:b w:val="0"/>
        <w:i w:val="0"/>
        <w:sz w:val="22"/>
      </w:rPr>
    </w:lvl>
    <w:lvl w:ilvl="1">
      <w:start w:val="1"/>
      <w:numFmt w:val="decimal"/>
      <w:lvlText w:val="%1.%2"/>
      <w:lvlJc w:val="left"/>
      <w:pPr>
        <w:tabs>
          <w:tab w:val="num" w:pos="990"/>
        </w:tabs>
        <w:ind w:left="990" w:hanging="495"/>
      </w:pPr>
      <w:rPr>
        <w:rFonts w:ascii="Tahoma" w:hAnsi="Tahoma" w:cs="Tahoma" w:hint="default"/>
        <w:b w:val="0"/>
        <w:i w:val="0"/>
        <w:sz w:val="22"/>
      </w:rPr>
    </w:lvl>
    <w:lvl w:ilvl="2">
      <w:start w:val="1"/>
      <w:numFmt w:val="decimal"/>
      <w:lvlText w:val="%1.%2.%3"/>
      <w:lvlJc w:val="left"/>
      <w:pPr>
        <w:tabs>
          <w:tab w:val="num" w:pos="1641"/>
        </w:tabs>
        <w:ind w:left="1641" w:hanging="720"/>
      </w:pPr>
      <w:rPr>
        <w:rFonts w:ascii="Tahoma" w:hAnsi="Tahoma" w:cs="Tahoma" w:hint="default"/>
        <w:sz w:val="22"/>
      </w:rPr>
    </w:lvl>
    <w:lvl w:ilvl="3">
      <w:start w:val="1"/>
      <w:numFmt w:val="decimal"/>
      <w:lvlText w:val="%1.%2.6.%4"/>
      <w:lvlJc w:val="left"/>
      <w:pPr>
        <w:tabs>
          <w:tab w:val="num" w:pos="1215"/>
        </w:tabs>
        <w:ind w:left="1215" w:hanging="720"/>
      </w:pPr>
      <w:rPr>
        <w:rFonts w:ascii="Tahoma" w:hAnsi="Tahoma" w:cs="Tahoma" w:hint="default"/>
        <w:sz w:val="22"/>
      </w:rPr>
    </w:lvl>
    <w:lvl w:ilvl="4">
      <w:start w:val="1"/>
      <w:numFmt w:val="decimal"/>
      <w:lvlText w:val="%1.%2.%3.%4.%5"/>
      <w:lvlJc w:val="left"/>
      <w:pPr>
        <w:tabs>
          <w:tab w:val="num" w:pos="1575"/>
        </w:tabs>
        <w:ind w:left="1575" w:hanging="1080"/>
      </w:pPr>
      <w:rPr>
        <w:rFonts w:ascii="Tahoma" w:hAnsi="Tahoma" w:cs="Tahoma" w:hint="default"/>
        <w:sz w:val="22"/>
      </w:rPr>
    </w:lvl>
    <w:lvl w:ilvl="5">
      <w:start w:val="1"/>
      <w:numFmt w:val="decimal"/>
      <w:lvlText w:val="%1.%2.%3.%4.%5.%6"/>
      <w:lvlJc w:val="left"/>
      <w:pPr>
        <w:tabs>
          <w:tab w:val="num" w:pos="1935"/>
        </w:tabs>
        <w:ind w:left="1935" w:hanging="1440"/>
      </w:pPr>
      <w:rPr>
        <w:rFonts w:ascii="Tahoma" w:hAnsi="Tahoma" w:cs="Tahoma" w:hint="default"/>
        <w:sz w:val="22"/>
      </w:rPr>
    </w:lvl>
    <w:lvl w:ilvl="6">
      <w:start w:val="1"/>
      <w:numFmt w:val="decimal"/>
      <w:lvlText w:val="%1.%2.%3.%4.%5.%6.%7"/>
      <w:lvlJc w:val="left"/>
      <w:pPr>
        <w:tabs>
          <w:tab w:val="num" w:pos="1935"/>
        </w:tabs>
        <w:ind w:left="1935" w:hanging="1440"/>
      </w:pPr>
      <w:rPr>
        <w:rFonts w:ascii="Tahoma" w:hAnsi="Tahoma" w:cs="Tahoma" w:hint="default"/>
        <w:sz w:val="22"/>
      </w:rPr>
    </w:lvl>
    <w:lvl w:ilvl="7">
      <w:start w:val="1"/>
      <w:numFmt w:val="decimal"/>
      <w:lvlText w:val="%1.%2.%3.%4.%5.%6.%7.%8"/>
      <w:lvlJc w:val="left"/>
      <w:pPr>
        <w:tabs>
          <w:tab w:val="num" w:pos="2295"/>
        </w:tabs>
        <w:ind w:left="2295" w:hanging="1800"/>
      </w:pPr>
      <w:rPr>
        <w:rFonts w:ascii="Tahoma" w:hAnsi="Tahoma" w:cs="Tahoma" w:hint="default"/>
        <w:sz w:val="22"/>
      </w:rPr>
    </w:lvl>
    <w:lvl w:ilvl="8">
      <w:start w:val="1"/>
      <w:numFmt w:val="decimal"/>
      <w:lvlText w:val="%1.%2.%3.%4.%5.%6.%7.%8.%9"/>
      <w:lvlJc w:val="left"/>
      <w:pPr>
        <w:tabs>
          <w:tab w:val="num" w:pos="2295"/>
        </w:tabs>
        <w:ind w:left="2295" w:hanging="1800"/>
      </w:pPr>
      <w:rPr>
        <w:rFonts w:ascii="Tahoma" w:hAnsi="Tahoma" w:cs="Tahoma" w:hint="default"/>
        <w:sz w:val="22"/>
      </w:rPr>
    </w:lvl>
  </w:abstractNum>
  <w:abstractNum w:abstractNumId="28" w15:restartNumberingAfterBreak="0">
    <w:nsid w:val="7BD03C86"/>
    <w:multiLevelType w:val="hybridMultilevel"/>
    <w:tmpl w:val="061E1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ECC30BF"/>
    <w:multiLevelType w:val="hybridMultilevel"/>
    <w:tmpl w:val="BE9CE25E"/>
    <w:lvl w:ilvl="0" w:tplc="04080013">
      <w:start w:val="1"/>
      <w:numFmt w:val="upperRoman"/>
      <w:lvlText w:val="%1."/>
      <w:lvlJc w:val="right"/>
      <w:pPr>
        <w:ind w:left="2880" w:hanging="360"/>
      </w:pPr>
      <w:rPr>
        <w:rFont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num w:numId="1">
    <w:abstractNumId w:val="5"/>
  </w:num>
  <w:num w:numId="2">
    <w:abstractNumId w:val="16"/>
  </w:num>
  <w:num w:numId="3">
    <w:abstractNumId w:val="19"/>
  </w:num>
  <w:num w:numId="4">
    <w:abstractNumId w:val="2"/>
  </w:num>
  <w:num w:numId="5">
    <w:abstractNumId w:val="17"/>
  </w:num>
  <w:num w:numId="6">
    <w:abstractNumId w:val="1"/>
  </w:num>
  <w:num w:numId="7">
    <w:abstractNumId w:val="3"/>
  </w:num>
  <w:num w:numId="8">
    <w:abstractNumId w:val="12"/>
  </w:num>
  <w:num w:numId="9">
    <w:abstractNumId w:val="23"/>
  </w:num>
  <w:num w:numId="10">
    <w:abstractNumId w:val="29"/>
  </w:num>
  <w:num w:numId="11">
    <w:abstractNumId w:val="14"/>
  </w:num>
  <w:num w:numId="12">
    <w:abstractNumId w:val="25"/>
  </w:num>
  <w:num w:numId="13">
    <w:abstractNumId w:val="20"/>
  </w:num>
  <w:num w:numId="14">
    <w:abstractNumId w:val="9"/>
  </w:num>
  <w:num w:numId="15">
    <w:abstractNumId w:val="13"/>
  </w:num>
  <w:num w:numId="16">
    <w:abstractNumId w:val="22"/>
  </w:num>
  <w:num w:numId="17">
    <w:abstractNumId w:val="10"/>
  </w:num>
  <w:num w:numId="18">
    <w:abstractNumId w:val="0"/>
  </w:num>
  <w:num w:numId="19">
    <w:abstractNumId w:val="28"/>
  </w:num>
  <w:num w:numId="20">
    <w:abstractNumId w:val="4"/>
  </w:num>
  <w:num w:numId="21">
    <w:abstractNumId w:val="21"/>
  </w:num>
  <w:num w:numId="22">
    <w:abstractNumId w:val="27"/>
  </w:num>
  <w:num w:numId="23">
    <w:abstractNumId w:val="24"/>
  </w:num>
  <w:num w:numId="24">
    <w:abstractNumId w:val="18"/>
  </w:num>
  <w:num w:numId="25">
    <w:abstractNumId w:val="8"/>
  </w:num>
  <w:num w:numId="26">
    <w:abstractNumId w:val="11"/>
  </w:num>
  <w:num w:numId="27">
    <w:abstractNumId w:val="26"/>
  </w:num>
  <w:num w:numId="28">
    <w:abstractNumId w:val="15"/>
  </w:num>
  <w:num w:numId="29">
    <w:abstractNumId w:val="6"/>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F"/>
    <w:rsid w:val="00000DBD"/>
    <w:rsid w:val="0000535A"/>
    <w:rsid w:val="00005D36"/>
    <w:rsid w:val="0002293A"/>
    <w:rsid w:val="000246B0"/>
    <w:rsid w:val="00033250"/>
    <w:rsid w:val="00041AA3"/>
    <w:rsid w:val="0004220D"/>
    <w:rsid w:val="000577C9"/>
    <w:rsid w:val="00061858"/>
    <w:rsid w:val="000712D9"/>
    <w:rsid w:val="000811B2"/>
    <w:rsid w:val="000811EC"/>
    <w:rsid w:val="000926F6"/>
    <w:rsid w:val="000940C0"/>
    <w:rsid w:val="00094656"/>
    <w:rsid w:val="000A4B31"/>
    <w:rsid w:val="000C4FA4"/>
    <w:rsid w:val="000D19BE"/>
    <w:rsid w:val="000D5D7F"/>
    <w:rsid w:val="000E2895"/>
    <w:rsid w:val="000E33EE"/>
    <w:rsid w:val="000E4D61"/>
    <w:rsid w:val="000E5176"/>
    <w:rsid w:val="000E58AC"/>
    <w:rsid w:val="000E6CD0"/>
    <w:rsid w:val="000E7E62"/>
    <w:rsid w:val="001103C8"/>
    <w:rsid w:val="00111B28"/>
    <w:rsid w:val="0013185B"/>
    <w:rsid w:val="00140127"/>
    <w:rsid w:val="00141744"/>
    <w:rsid w:val="00143441"/>
    <w:rsid w:val="0014355E"/>
    <w:rsid w:val="00146483"/>
    <w:rsid w:val="00155C6A"/>
    <w:rsid w:val="00164B07"/>
    <w:rsid w:val="00166C72"/>
    <w:rsid w:val="0018465D"/>
    <w:rsid w:val="00184713"/>
    <w:rsid w:val="00184EBF"/>
    <w:rsid w:val="001918B3"/>
    <w:rsid w:val="001933C6"/>
    <w:rsid w:val="001943BE"/>
    <w:rsid w:val="0019753D"/>
    <w:rsid w:val="001B272F"/>
    <w:rsid w:val="001B7A9F"/>
    <w:rsid w:val="001C79B6"/>
    <w:rsid w:val="001D18A7"/>
    <w:rsid w:val="001E1AB9"/>
    <w:rsid w:val="001F2251"/>
    <w:rsid w:val="0020275D"/>
    <w:rsid w:val="00203BEB"/>
    <w:rsid w:val="00213D4E"/>
    <w:rsid w:val="002158B4"/>
    <w:rsid w:val="0021655A"/>
    <w:rsid w:val="00223099"/>
    <w:rsid w:val="00225FF9"/>
    <w:rsid w:val="00227B4B"/>
    <w:rsid w:val="00234951"/>
    <w:rsid w:val="00235CF0"/>
    <w:rsid w:val="002458C6"/>
    <w:rsid w:val="002475DF"/>
    <w:rsid w:val="00252F17"/>
    <w:rsid w:val="00254600"/>
    <w:rsid w:val="0025641B"/>
    <w:rsid w:val="00256B4D"/>
    <w:rsid w:val="00271B45"/>
    <w:rsid w:val="00271DD6"/>
    <w:rsid w:val="00283501"/>
    <w:rsid w:val="0029173E"/>
    <w:rsid w:val="0029209C"/>
    <w:rsid w:val="002928C5"/>
    <w:rsid w:val="0029438E"/>
    <w:rsid w:val="0029593C"/>
    <w:rsid w:val="00296E90"/>
    <w:rsid w:val="002A6717"/>
    <w:rsid w:val="002B3F5B"/>
    <w:rsid w:val="002B7B1F"/>
    <w:rsid w:val="002C2C17"/>
    <w:rsid w:val="002C4485"/>
    <w:rsid w:val="002C4BE2"/>
    <w:rsid w:val="002D2C7F"/>
    <w:rsid w:val="002E2659"/>
    <w:rsid w:val="002E6223"/>
    <w:rsid w:val="002F1B10"/>
    <w:rsid w:val="002F6809"/>
    <w:rsid w:val="00303B0D"/>
    <w:rsid w:val="00307BC5"/>
    <w:rsid w:val="003116F2"/>
    <w:rsid w:val="003118B1"/>
    <w:rsid w:val="00312395"/>
    <w:rsid w:val="003168A9"/>
    <w:rsid w:val="00320F33"/>
    <w:rsid w:val="0032298B"/>
    <w:rsid w:val="003233E3"/>
    <w:rsid w:val="00325754"/>
    <w:rsid w:val="0033233D"/>
    <w:rsid w:val="003354F6"/>
    <w:rsid w:val="003441A5"/>
    <w:rsid w:val="003515F2"/>
    <w:rsid w:val="00353223"/>
    <w:rsid w:val="0035513D"/>
    <w:rsid w:val="00355FA7"/>
    <w:rsid w:val="003679BE"/>
    <w:rsid w:val="0038054F"/>
    <w:rsid w:val="003815BE"/>
    <w:rsid w:val="00394182"/>
    <w:rsid w:val="00395935"/>
    <w:rsid w:val="003A04A1"/>
    <w:rsid w:val="003A247A"/>
    <w:rsid w:val="003A3229"/>
    <w:rsid w:val="003A533A"/>
    <w:rsid w:val="003A70D4"/>
    <w:rsid w:val="003B2078"/>
    <w:rsid w:val="003B5B9F"/>
    <w:rsid w:val="003B714B"/>
    <w:rsid w:val="003C73F0"/>
    <w:rsid w:val="003C75ED"/>
    <w:rsid w:val="003D27C0"/>
    <w:rsid w:val="003D3625"/>
    <w:rsid w:val="003E2BB5"/>
    <w:rsid w:val="003E48DB"/>
    <w:rsid w:val="003F1919"/>
    <w:rsid w:val="003F21BE"/>
    <w:rsid w:val="003F303D"/>
    <w:rsid w:val="003F40F5"/>
    <w:rsid w:val="003F4E74"/>
    <w:rsid w:val="003F5319"/>
    <w:rsid w:val="003F5E9C"/>
    <w:rsid w:val="00401A29"/>
    <w:rsid w:val="00402856"/>
    <w:rsid w:val="00403904"/>
    <w:rsid w:val="00410ACB"/>
    <w:rsid w:val="004138D2"/>
    <w:rsid w:val="00415832"/>
    <w:rsid w:val="00416405"/>
    <w:rsid w:val="0042278F"/>
    <w:rsid w:val="00422C38"/>
    <w:rsid w:val="00423962"/>
    <w:rsid w:val="00425546"/>
    <w:rsid w:val="0042590E"/>
    <w:rsid w:val="00434FAE"/>
    <w:rsid w:val="00450656"/>
    <w:rsid w:val="00455DFE"/>
    <w:rsid w:val="00456AD4"/>
    <w:rsid w:val="00461591"/>
    <w:rsid w:val="004709C5"/>
    <w:rsid w:val="004754C1"/>
    <w:rsid w:val="00476AA8"/>
    <w:rsid w:val="00482B5F"/>
    <w:rsid w:val="004918B3"/>
    <w:rsid w:val="004A2E83"/>
    <w:rsid w:val="004A6519"/>
    <w:rsid w:val="004B31D8"/>
    <w:rsid w:val="004B6501"/>
    <w:rsid w:val="004C0711"/>
    <w:rsid w:val="004D127D"/>
    <w:rsid w:val="004D218C"/>
    <w:rsid w:val="004D23A6"/>
    <w:rsid w:val="004D4871"/>
    <w:rsid w:val="004E18C3"/>
    <w:rsid w:val="004E2FEF"/>
    <w:rsid w:val="004F37C8"/>
    <w:rsid w:val="004F6716"/>
    <w:rsid w:val="004F6BF5"/>
    <w:rsid w:val="00501D9C"/>
    <w:rsid w:val="005123BB"/>
    <w:rsid w:val="005146BE"/>
    <w:rsid w:val="00514B28"/>
    <w:rsid w:val="005167A3"/>
    <w:rsid w:val="00523447"/>
    <w:rsid w:val="0052794A"/>
    <w:rsid w:val="00533B92"/>
    <w:rsid w:val="00550257"/>
    <w:rsid w:val="00560551"/>
    <w:rsid w:val="0056063A"/>
    <w:rsid w:val="00567F8D"/>
    <w:rsid w:val="00570BDC"/>
    <w:rsid w:val="00570C67"/>
    <w:rsid w:val="005772BD"/>
    <w:rsid w:val="00586C03"/>
    <w:rsid w:val="00587672"/>
    <w:rsid w:val="0058794D"/>
    <w:rsid w:val="00590652"/>
    <w:rsid w:val="00592B19"/>
    <w:rsid w:val="00596E42"/>
    <w:rsid w:val="005A5275"/>
    <w:rsid w:val="005B2A64"/>
    <w:rsid w:val="005B37BC"/>
    <w:rsid w:val="005B4EB9"/>
    <w:rsid w:val="005C263D"/>
    <w:rsid w:val="005C52A1"/>
    <w:rsid w:val="005D1CB2"/>
    <w:rsid w:val="005D2032"/>
    <w:rsid w:val="005E06A3"/>
    <w:rsid w:val="005E2C3B"/>
    <w:rsid w:val="005F1C35"/>
    <w:rsid w:val="00602A57"/>
    <w:rsid w:val="00602F01"/>
    <w:rsid w:val="0060698B"/>
    <w:rsid w:val="00607152"/>
    <w:rsid w:val="00611BA6"/>
    <w:rsid w:val="00627E8E"/>
    <w:rsid w:val="00631C39"/>
    <w:rsid w:val="00632BE6"/>
    <w:rsid w:val="00633318"/>
    <w:rsid w:val="00634CBE"/>
    <w:rsid w:val="006405FA"/>
    <w:rsid w:val="00644CAA"/>
    <w:rsid w:val="0064570F"/>
    <w:rsid w:val="00650C7A"/>
    <w:rsid w:val="006520B5"/>
    <w:rsid w:val="006560A4"/>
    <w:rsid w:val="00657C01"/>
    <w:rsid w:val="006618F1"/>
    <w:rsid w:val="00667EB1"/>
    <w:rsid w:val="006708B0"/>
    <w:rsid w:val="00673E89"/>
    <w:rsid w:val="006777E7"/>
    <w:rsid w:val="00680EB9"/>
    <w:rsid w:val="00683F3A"/>
    <w:rsid w:val="00691ABA"/>
    <w:rsid w:val="00694591"/>
    <w:rsid w:val="006957AE"/>
    <w:rsid w:val="006A3F52"/>
    <w:rsid w:val="006B0190"/>
    <w:rsid w:val="006B58F4"/>
    <w:rsid w:val="006B713F"/>
    <w:rsid w:val="006D7EF7"/>
    <w:rsid w:val="006E10D5"/>
    <w:rsid w:val="006E4652"/>
    <w:rsid w:val="006E5B9D"/>
    <w:rsid w:val="006F1C31"/>
    <w:rsid w:val="006F5106"/>
    <w:rsid w:val="00703E2D"/>
    <w:rsid w:val="00710748"/>
    <w:rsid w:val="00711D25"/>
    <w:rsid w:val="00713082"/>
    <w:rsid w:val="00715276"/>
    <w:rsid w:val="007152A2"/>
    <w:rsid w:val="0072471D"/>
    <w:rsid w:val="00730DFE"/>
    <w:rsid w:val="00742831"/>
    <w:rsid w:val="00744153"/>
    <w:rsid w:val="007609DC"/>
    <w:rsid w:val="00760EF8"/>
    <w:rsid w:val="007629B9"/>
    <w:rsid w:val="0077501F"/>
    <w:rsid w:val="00790317"/>
    <w:rsid w:val="007A14D0"/>
    <w:rsid w:val="007C4173"/>
    <w:rsid w:val="007C4C73"/>
    <w:rsid w:val="007D43A4"/>
    <w:rsid w:val="007E243F"/>
    <w:rsid w:val="007E6D42"/>
    <w:rsid w:val="007F64CE"/>
    <w:rsid w:val="00810B80"/>
    <w:rsid w:val="00816DCA"/>
    <w:rsid w:val="00821D6E"/>
    <w:rsid w:val="00825C32"/>
    <w:rsid w:val="00835529"/>
    <w:rsid w:val="00836E7A"/>
    <w:rsid w:val="00850F78"/>
    <w:rsid w:val="00862829"/>
    <w:rsid w:val="0086376B"/>
    <w:rsid w:val="00865A82"/>
    <w:rsid w:val="00866857"/>
    <w:rsid w:val="00867E10"/>
    <w:rsid w:val="00877442"/>
    <w:rsid w:val="00880706"/>
    <w:rsid w:val="00880A8D"/>
    <w:rsid w:val="008810A7"/>
    <w:rsid w:val="008853F6"/>
    <w:rsid w:val="00896102"/>
    <w:rsid w:val="00897D82"/>
    <w:rsid w:val="008A2994"/>
    <w:rsid w:val="008A775F"/>
    <w:rsid w:val="008B00FC"/>
    <w:rsid w:val="008B33F9"/>
    <w:rsid w:val="008B5A2F"/>
    <w:rsid w:val="008C02AC"/>
    <w:rsid w:val="008C1573"/>
    <w:rsid w:val="008C246E"/>
    <w:rsid w:val="008C3368"/>
    <w:rsid w:val="008C46F6"/>
    <w:rsid w:val="008D59C4"/>
    <w:rsid w:val="008E6D43"/>
    <w:rsid w:val="008E75AB"/>
    <w:rsid w:val="0090025A"/>
    <w:rsid w:val="009015A7"/>
    <w:rsid w:val="00901C3F"/>
    <w:rsid w:val="00903ED7"/>
    <w:rsid w:val="009079FA"/>
    <w:rsid w:val="00907F0C"/>
    <w:rsid w:val="00910832"/>
    <w:rsid w:val="00913870"/>
    <w:rsid w:val="00914E6F"/>
    <w:rsid w:val="009156DD"/>
    <w:rsid w:val="00924F85"/>
    <w:rsid w:val="00931A30"/>
    <w:rsid w:val="0093233A"/>
    <w:rsid w:val="009352A7"/>
    <w:rsid w:val="0093642E"/>
    <w:rsid w:val="00940318"/>
    <w:rsid w:val="009410DC"/>
    <w:rsid w:val="009500A1"/>
    <w:rsid w:val="0095391B"/>
    <w:rsid w:val="0095490E"/>
    <w:rsid w:val="00954D2A"/>
    <w:rsid w:val="00961218"/>
    <w:rsid w:val="00963701"/>
    <w:rsid w:val="00963908"/>
    <w:rsid w:val="009660A7"/>
    <w:rsid w:val="00972084"/>
    <w:rsid w:val="00975C72"/>
    <w:rsid w:val="009760CE"/>
    <w:rsid w:val="009826A4"/>
    <w:rsid w:val="00990776"/>
    <w:rsid w:val="00995DDA"/>
    <w:rsid w:val="0099757B"/>
    <w:rsid w:val="009C1A8B"/>
    <w:rsid w:val="009C2828"/>
    <w:rsid w:val="009C40C5"/>
    <w:rsid w:val="009C5DA2"/>
    <w:rsid w:val="009D3467"/>
    <w:rsid w:val="009E25C3"/>
    <w:rsid w:val="009E34C9"/>
    <w:rsid w:val="00A040F2"/>
    <w:rsid w:val="00A05272"/>
    <w:rsid w:val="00A05A6B"/>
    <w:rsid w:val="00A0729B"/>
    <w:rsid w:val="00A12ADE"/>
    <w:rsid w:val="00A1313B"/>
    <w:rsid w:val="00A13534"/>
    <w:rsid w:val="00A30041"/>
    <w:rsid w:val="00A476B4"/>
    <w:rsid w:val="00A54F07"/>
    <w:rsid w:val="00A54F17"/>
    <w:rsid w:val="00A63A49"/>
    <w:rsid w:val="00A65A9C"/>
    <w:rsid w:val="00A65E21"/>
    <w:rsid w:val="00A70874"/>
    <w:rsid w:val="00A7203A"/>
    <w:rsid w:val="00A82B74"/>
    <w:rsid w:val="00A87A79"/>
    <w:rsid w:val="00A9151C"/>
    <w:rsid w:val="00A96D7C"/>
    <w:rsid w:val="00AA447F"/>
    <w:rsid w:val="00AA49C0"/>
    <w:rsid w:val="00AA514D"/>
    <w:rsid w:val="00AB0912"/>
    <w:rsid w:val="00AB1A43"/>
    <w:rsid w:val="00AC2541"/>
    <w:rsid w:val="00AC483D"/>
    <w:rsid w:val="00AD3CF0"/>
    <w:rsid w:val="00AD58A8"/>
    <w:rsid w:val="00AE061F"/>
    <w:rsid w:val="00AE44BB"/>
    <w:rsid w:val="00AF0714"/>
    <w:rsid w:val="00B05906"/>
    <w:rsid w:val="00B07486"/>
    <w:rsid w:val="00B13057"/>
    <w:rsid w:val="00B21A41"/>
    <w:rsid w:val="00B231F9"/>
    <w:rsid w:val="00B3315F"/>
    <w:rsid w:val="00B352C0"/>
    <w:rsid w:val="00B409D9"/>
    <w:rsid w:val="00B439D0"/>
    <w:rsid w:val="00B44C79"/>
    <w:rsid w:val="00B4506F"/>
    <w:rsid w:val="00B474ED"/>
    <w:rsid w:val="00B56001"/>
    <w:rsid w:val="00B605DB"/>
    <w:rsid w:val="00B60CBB"/>
    <w:rsid w:val="00B71B43"/>
    <w:rsid w:val="00B760C4"/>
    <w:rsid w:val="00B7699A"/>
    <w:rsid w:val="00B81CAF"/>
    <w:rsid w:val="00B9418E"/>
    <w:rsid w:val="00BA1721"/>
    <w:rsid w:val="00BA571D"/>
    <w:rsid w:val="00BA7A3F"/>
    <w:rsid w:val="00BB2DED"/>
    <w:rsid w:val="00BB403F"/>
    <w:rsid w:val="00BB45C5"/>
    <w:rsid w:val="00BB54BD"/>
    <w:rsid w:val="00BC4BBF"/>
    <w:rsid w:val="00BC4D39"/>
    <w:rsid w:val="00BD1C9E"/>
    <w:rsid w:val="00BD3EC8"/>
    <w:rsid w:val="00BD6982"/>
    <w:rsid w:val="00BE56AB"/>
    <w:rsid w:val="00BF0C8C"/>
    <w:rsid w:val="00BF174F"/>
    <w:rsid w:val="00C016D7"/>
    <w:rsid w:val="00C11A77"/>
    <w:rsid w:val="00C21886"/>
    <w:rsid w:val="00C33C02"/>
    <w:rsid w:val="00C37012"/>
    <w:rsid w:val="00C43D5F"/>
    <w:rsid w:val="00C441A3"/>
    <w:rsid w:val="00C47622"/>
    <w:rsid w:val="00C55104"/>
    <w:rsid w:val="00C56EC5"/>
    <w:rsid w:val="00C601A6"/>
    <w:rsid w:val="00C65C4F"/>
    <w:rsid w:val="00C663F1"/>
    <w:rsid w:val="00C74C90"/>
    <w:rsid w:val="00C75E95"/>
    <w:rsid w:val="00C7618F"/>
    <w:rsid w:val="00C77AF9"/>
    <w:rsid w:val="00C80139"/>
    <w:rsid w:val="00C80D4F"/>
    <w:rsid w:val="00C87943"/>
    <w:rsid w:val="00C87CAF"/>
    <w:rsid w:val="00C91973"/>
    <w:rsid w:val="00C93498"/>
    <w:rsid w:val="00C939AF"/>
    <w:rsid w:val="00C95929"/>
    <w:rsid w:val="00CA020F"/>
    <w:rsid w:val="00CB1996"/>
    <w:rsid w:val="00CB26D5"/>
    <w:rsid w:val="00CB3800"/>
    <w:rsid w:val="00CC2E3B"/>
    <w:rsid w:val="00CD5D4E"/>
    <w:rsid w:val="00CE7FEB"/>
    <w:rsid w:val="00CF1387"/>
    <w:rsid w:val="00CF1812"/>
    <w:rsid w:val="00D15723"/>
    <w:rsid w:val="00D248FE"/>
    <w:rsid w:val="00D34E62"/>
    <w:rsid w:val="00D54DA1"/>
    <w:rsid w:val="00D61FD4"/>
    <w:rsid w:val="00D620A8"/>
    <w:rsid w:val="00D67F60"/>
    <w:rsid w:val="00D77258"/>
    <w:rsid w:val="00D8029D"/>
    <w:rsid w:val="00D812F9"/>
    <w:rsid w:val="00D85EB6"/>
    <w:rsid w:val="00D97EA2"/>
    <w:rsid w:val="00DA2062"/>
    <w:rsid w:val="00DA5106"/>
    <w:rsid w:val="00DA6E5D"/>
    <w:rsid w:val="00DB00E9"/>
    <w:rsid w:val="00DB62B6"/>
    <w:rsid w:val="00DC1696"/>
    <w:rsid w:val="00DC3CD9"/>
    <w:rsid w:val="00DC7834"/>
    <w:rsid w:val="00DD2D0E"/>
    <w:rsid w:val="00DE50FD"/>
    <w:rsid w:val="00DE6643"/>
    <w:rsid w:val="00DF0FBD"/>
    <w:rsid w:val="00DF44A0"/>
    <w:rsid w:val="00E139D4"/>
    <w:rsid w:val="00E164BF"/>
    <w:rsid w:val="00E24CFE"/>
    <w:rsid w:val="00E30623"/>
    <w:rsid w:val="00E42BF8"/>
    <w:rsid w:val="00E43093"/>
    <w:rsid w:val="00E462F4"/>
    <w:rsid w:val="00E50DDA"/>
    <w:rsid w:val="00E5176B"/>
    <w:rsid w:val="00E61780"/>
    <w:rsid w:val="00E71CDB"/>
    <w:rsid w:val="00E74113"/>
    <w:rsid w:val="00E758BC"/>
    <w:rsid w:val="00E81E9F"/>
    <w:rsid w:val="00E911BA"/>
    <w:rsid w:val="00E962D3"/>
    <w:rsid w:val="00EA0A70"/>
    <w:rsid w:val="00EA12EB"/>
    <w:rsid w:val="00EB3DE1"/>
    <w:rsid w:val="00EC2E91"/>
    <w:rsid w:val="00ED7F72"/>
    <w:rsid w:val="00EE33E2"/>
    <w:rsid w:val="00EE3F5A"/>
    <w:rsid w:val="00EE5B22"/>
    <w:rsid w:val="00EE741F"/>
    <w:rsid w:val="00EF2BC9"/>
    <w:rsid w:val="00EF3B0C"/>
    <w:rsid w:val="00EF4F90"/>
    <w:rsid w:val="00EF5050"/>
    <w:rsid w:val="00F00C38"/>
    <w:rsid w:val="00F04764"/>
    <w:rsid w:val="00F06E58"/>
    <w:rsid w:val="00F128B1"/>
    <w:rsid w:val="00F12CB8"/>
    <w:rsid w:val="00F132EA"/>
    <w:rsid w:val="00F1766C"/>
    <w:rsid w:val="00F220CC"/>
    <w:rsid w:val="00F355D7"/>
    <w:rsid w:val="00F35A1A"/>
    <w:rsid w:val="00F36A85"/>
    <w:rsid w:val="00F47FB1"/>
    <w:rsid w:val="00F546AA"/>
    <w:rsid w:val="00F6032E"/>
    <w:rsid w:val="00F60811"/>
    <w:rsid w:val="00F6159D"/>
    <w:rsid w:val="00F71D9A"/>
    <w:rsid w:val="00F77F38"/>
    <w:rsid w:val="00F828E1"/>
    <w:rsid w:val="00F9443B"/>
    <w:rsid w:val="00FA23D1"/>
    <w:rsid w:val="00FA6252"/>
    <w:rsid w:val="00FB4EF3"/>
    <w:rsid w:val="00FB52A2"/>
    <w:rsid w:val="00FC6E9D"/>
    <w:rsid w:val="00FC7C93"/>
    <w:rsid w:val="00FE7C79"/>
    <w:rsid w:val="00FF3CF0"/>
    <w:rsid w:val="00FF58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510CAD-38AC-4BFB-9FEB-CE0027C6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4D"/>
    <w:rPr>
      <w:sz w:val="24"/>
      <w:szCs w:val="24"/>
    </w:rPr>
  </w:style>
  <w:style w:type="paragraph" w:styleId="1">
    <w:name w:val="heading 1"/>
    <w:basedOn w:val="a"/>
    <w:next w:val="a"/>
    <w:link w:val="1Char"/>
    <w:qFormat/>
    <w:rsid w:val="00256B4D"/>
    <w:pPr>
      <w:keepNext/>
      <w:jc w:val="both"/>
      <w:outlineLvl w:val="0"/>
    </w:pPr>
    <w:rPr>
      <w:rFonts w:ascii="Arial" w:eastAsia="Arial Unicode MS" w:hAnsi="Arial" w:cs="Arial"/>
      <w:i/>
    </w:rPr>
  </w:style>
  <w:style w:type="paragraph" w:styleId="2">
    <w:name w:val="heading 2"/>
    <w:basedOn w:val="a"/>
    <w:next w:val="a"/>
    <w:qFormat/>
    <w:rsid w:val="00256B4D"/>
    <w:pPr>
      <w:keepNext/>
      <w:jc w:val="center"/>
      <w:outlineLvl w:val="1"/>
    </w:pPr>
    <w:rPr>
      <w:b/>
      <w:bCs/>
      <w:iCs/>
      <w:u w:val="single"/>
    </w:rPr>
  </w:style>
  <w:style w:type="paragraph" w:styleId="3">
    <w:name w:val="heading 3"/>
    <w:basedOn w:val="a"/>
    <w:next w:val="a"/>
    <w:link w:val="3Char"/>
    <w:qFormat/>
    <w:rsid w:val="00256B4D"/>
    <w:pPr>
      <w:keepNext/>
      <w:jc w:val="center"/>
      <w:outlineLvl w:val="2"/>
    </w:pPr>
    <w:rPr>
      <w:bCs/>
      <w:sz w:val="3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6B4D"/>
    <w:pPr>
      <w:tabs>
        <w:tab w:val="center" w:pos="4153"/>
        <w:tab w:val="right" w:pos="8306"/>
      </w:tabs>
    </w:pPr>
  </w:style>
  <w:style w:type="paragraph" w:styleId="a4">
    <w:name w:val="footer"/>
    <w:basedOn w:val="a"/>
    <w:link w:val="Char"/>
    <w:uiPriority w:val="99"/>
    <w:rsid w:val="00256B4D"/>
    <w:pPr>
      <w:tabs>
        <w:tab w:val="center" w:pos="4153"/>
        <w:tab w:val="right" w:pos="8306"/>
      </w:tabs>
    </w:pPr>
  </w:style>
  <w:style w:type="paragraph" w:styleId="a5">
    <w:name w:val="Body Text Indent"/>
    <w:basedOn w:val="a"/>
    <w:link w:val="Char0"/>
    <w:rsid w:val="00256B4D"/>
    <w:pPr>
      <w:ind w:left="720" w:hanging="720"/>
      <w:jc w:val="both"/>
    </w:pPr>
    <w:rPr>
      <w:iCs/>
    </w:rPr>
  </w:style>
  <w:style w:type="paragraph" w:styleId="a6">
    <w:name w:val="Body Text"/>
    <w:basedOn w:val="a"/>
    <w:rsid w:val="00256B4D"/>
    <w:pPr>
      <w:jc w:val="center"/>
    </w:pPr>
    <w:rPr>
      <w:b/>
      <w:bCs/>
      <w:iCs/>
    </w:rPr>
  </w:style>
  <w:style w:type="character" w:styleId="a7">
    <w:name w:val="page number"/>
    <w:basedOn w:val="a0"/>
    <w:rsid w:val="00256B4D"/>
  </w:style>
  <w:style w:type="paragraph" w:styleId="20">
    <w:name w:val="Body Text Indent 2"/>
    <w:basedOn w:val="a"/>
    <w:rsid w:val="00256B4D"/>
    <w:pPr>
      <w:ind w:left="1440" w:hanging="720"/>
      <w:jc w:val="both"/>
    </w:pPr>
    <w:rPr>
      <w:sz w:val="26"/>
    </w:rPr>
  </w:style>
  <w:style w:type="paragraph" w:styleId="21">
    <w:name w:val="Body Text 2"/>
    <w:basedOn w:val="a"/>
    <w:rsid w:val="00256B4D"/>
    <w:pPr>
      <w:spacing w:after="120"/>
      <w:jc w:val="both"/>
    </w:pPr>
  </w:style>
  <w:style w:type="paragraph" w:styleId="a8">
    <w:name w:val="Balloon Text"/>
    <w:basedOn w:val="a"/>
    <w:semiHidden/>
    <w:rsid w:val="00256B4D"/>
    <w:rPr>
      <w:rFonts w:ascii="Tahoma" w:hAnsi="Tahoma" w:cs="Tahoma"/>
      <w:sz w:val="16"/>
      <w:szCs w:val="16"/>
    </w:rPr>
  </w:style>
  <w:style w:type="character" w:styleId="-">
    <w:name w:val="Hyperlink"/>
    <w:rsid w:val="00256B4D"/>
    <w:rPr>
      <w:color w:val="0000FF"/>
      <w:u w:val="single"/>
    </w:rPr>
  </w:style>
  <w:style w:type="character" w:styleId="-0">
    <w:name w:val="FollowedHyperlink"/>
    <w:rsid w:val="00256B4D"/>
    <w:rPr>
      <w:color w:val="800080"/>
      <w:u w:val="single"/>
    </w:rPr>
  </w:style>
  <w:style w:type="paragraph" w:customStyle="1" w:styleId="a9">
    <w:basedOn w:val="a"/>
    <w:rsid w:val="009E25C3"/>
    <w:pPr>
      <w:spacing w:after="160" w:line="240" w:lineRule="exact"/>
    </w:pPr>
    <w:rPr>
      <w:rFonts w:ascii="Tahoma" w:hAnsi="Tahoma"/>
      <w:sz w:val="20"/>
      <w:szCs w:val="20"/>
      <w:lang w:val="en-US" w:eastAsia="en-US"/>
    </w:rPr>
  </w:style>
  <w:style w:type="paragraph" w:styleId="aa">
    <w:name w:val="Block Text"/>
    <w:basedOn w:val="a"/>
    <w:rsid w:val="00514B28"/>
    <w:pPr>
      <w:ind w:left="1440" w:right="32" w:hanging="731"/>
      <w:jc w:val="both"/>
    </w:pPr>
    <w:rPr>
      <w:sz w:val="26"/>
    </w:rPr>
  </w:style>
  <w:style w:type="paragraph" w:customStyle="1" w:styleId="Char1">
    <w:name w:val="Char"/>
    <w:basedOn w:val="a"/>
    <w:rsid w:val="00567F8D"/>
    <w:pPr>
      <w:spacing w:after="160" w:line="240" w:lineRule="exact"/>
    </w:pPr>
    <w:rPr>
      <w:rFonts w:ascii="Tahoma" w:hAnsi="Tahoma"/>
      <w:sz w:val="20"/>
      <w:szCs w:val="20"/>
      <w:lang w:val="en-US" w:eastAsia="en-US"/>
    </w:rPr>
  </w:style>
  <w:style w:type="paragraph" w:customStyle="1" w:styleId="CharChar">
    <w:name w:val="Char Char"/>
    <w:basedOn w:val="a"/>
    <w:rsid w:val="00FC6E9D"/>
    <w:pPr>
      <w:spacing w:after="160" w:line="240" w:lineRule="exact"/>
    </w:pPr>
    <w:rPr>
      <w:rFonts w:ascii="Tahoma" w:hAnsi="Tahoma"/>
      <w:sz w:val="20"/>
      <w:szCs w:val="20"/>
      <w:lang w:val="en-US" w:eastAsia="en-US"/>
    </w:rPr>
  </w:style>
  <w:style w:type="character" w:customStyle="1" w:styleId="1Char">
    <w:name w:val="Επικεφαλίδα 1 Char"/>
    <w:link w:val="1"/>
    <w:rsid w:val="00BD6982"/>
    <w:rPr>
      <w:rFonts w:ascii="Arial" w:eastAsia="Arial Unicode MS" w:hAnsi="Arial" w:cs="Arial"/>
      <w:i/>
      <w:sz w:val="24"/>
      <w:szCs w:val="24"/>
      <w:lang w:val="el-GR" w:eastAsia="el-GR" w:bidi="ar-SA"/>
    </w:rPr>
  </w:style>
  <w:style w:type="paragraph" w:customStyle="1" w:styleId="01TNR13">
    <w:name w:val="01 TNR 13"/>
    <w:basedOn w:val="a"/>
    <w:next w:val="a"/>
    <w:rsid w:val="00BA1721"/>
    <w:pPr>
      <w:ind w:left="561" w:hanging="561"/>
      <w:jc w:val="both"/>
    </w:pPr>
    <w:rPr>
      <w:sz w:val="26"/>
      <w:szCs w:val="26"/>
    </w:rPr>
  </w:style>
  <w:style w:type="paragraph" w:styleId="ab">
    <w:name w:val="caption"/>
    <w:basedOn w:val="a"/>
    <w:next w:val="a"/>
    <w:uiPriority w:val="35"/>
    <w:qFormat/>
    <w:rsid w:val="000E6CD0"/>
    <w:pPr>
      <w:spacing w:line="300" w:lineRule="atLeast"/>
      <w:jc w:val="center"/>
    </w:pPr>
    <w:rPr>
      <w:rFonts w:ascii="Tahoma" w:eastAsia="Geneva" w:hAnsi="Tahoma" w:cs="Tahoma"/>
      <w:b/>
      <w:bCs/>
      <w:sz w:val="20"/>
      <w:szCs w:val="20"/>
      <w:lang w:eastAsia="en-US"/>
    </w:rPr>
  </w:style>
  <w:style w:type="character" w:customStyle="1" w:styleId="Char0">
    <w:name w:val="Σώμα κείμενου με εσοχή Char"/>
    <w:link w:val="a5"/>
    <w:rsid w:val="000E6CD0"/>
    <w:rPr>
      <w:iCs/>
      <w:sz w:val="24"/>
      <w:szCs w:val="24"/>
      <w:lang w:val="el-GR" w:eastAsia="el-GR" w:bidi="ar-SA"/>
    </w:rPr>
  </w:style>
  <w:style w:type="paragraph" w:customStyle="1" w:styleId="Default">
    <w:name w:val="Default"/>
    <w:rsid w:val="00C87943"/>
    <w:pPr>
      <w:autoSpaceDE w:val="0"/>
      <w:autoSpaceDN w:val="0"/>
      <w:adjustRightInd w:val="0"/>
    </w:pPr>
    <w:rPr>
      <w:rFonts w:ascii="Arial" w:hAnsi="Arial"/>
      <w:color w:val="000000"/>
      <w:sz w:val="24"/>
      <w:szCs w:val="24"/>
      <w:lang w:val="en-US" w:eastAsia="en-US"/>
    </w:rPr>
  </w:style>
  <w:style w:type="paragraph" w:customStyle="1" w:styleId="210">
    <w:name w:val="Σώμα κείμενου 21"/>
    <w:basedOn w:val="a"/>
    <w:rsid w:val="005167A3"/>
    <w:pPr>
      <w:overflowPunct w:val="0"/>
      <w:autoSpaceDE w:val="0"/>
      <w:autoSpaceDN w:val="0"/>
      <w:adjustRightInd w:val="0"/>
      <w:spacing w:after="120" w:line="480" w:lineRule="auto"/>
      <w:textAlignment w:val="baseline"/>
    </w:pPr>
    <w:rPr>
      <w:szCs w:val="20"/>
    </w:rPr>
  </w:style>
  <w:style w:type="paragraph" w:styleId="ac">
    <w:name w:val="List Paragraph"/>
    <w:basedOn w:val="a"/>
    <w:link w:val="Char2"/>
    <w:uiPriority w:val="34"/>
    <w:qFormat/>
    <w:rsid w:val="00E139D4"/>
    <w:pPr>
      <w:spacing w:after="200" w:line="276" w:lineRule="auto"/>
      <w:ind w:left="720"/>
      <w:contextualSpacing/>
    </w:pPr>
    <w:rPr>
      <w:rFonts w:ascii="Calibri" w:eastAsia="Calibri" w:hAnsi="Calibri"/>
      <w:sz w:val="22"/>
      <w:szCs w:val="22"/>
      <w:lang w:eastAsia="en-US"/>
    </w:rPr>
  </w:style>
  <w:style w:type="character" w:customStyle="1" w:styleId="Char">
    <w:name w:val="Υποσέλιδο Char"/>
    <w:link w:val="a4"/>
    <w:uiPriority w:val="99"/>
    <w:rsid w:val="00401A29"/>
    <w:rPr>
      <w:sz w:val="24"/>
      <w:szCs w:val="24"/>
    </w:rPr>
  </w:style>
  <w:style w:type="character" w:customStyle="1" w:styleId="Char2">
    <w:name w:val="Παράγραφος λίστας Char"/>
    <w:link w:val="ac"/>
    <w:uiPriority w:val="34"/>
    <w:locked/>
    <w:rsid w:val="008E75AB"/>
    <w:rPr>
      <w:rFonts w:ascii="Calibri" w:eastAsia="Calibri" w:hAnsi="Calibri"/>
      <w:sz w:val="22"/>
      <w:szCs w:val="22"/>
      <w:lang w:eastAsia="en-US"/>
    </w:rPr>
  </w:style>
  <w:style w:type="paragraph" w:styleId="-HTML">
    <w:name w:val="HTML Preformatted"/>
    <w:basedOn w:val="a"/>
    <w:link w:val="-HTMLChar"/>
    <w:uiPriority w:val="99"/>
    <w:rsid w:val="0042590E"/>
    <w:rPr>
      <w:rFonts w:ascii="Courier New" w:hAnsi="Courier New"/>
      <w:sz w:val="20"/>
      <w:szCs w:val="20"/>
    </w:rPr>
  </w:style>
  <w:style w:type="character" w:customStyle="1" w:styleId="-HTMLChar">
    <w:name w:val="Προ-διαμορφωμένο HTML Char"/>
    <w:link w:val="-HTML"/>
    <w:uiPriority w:val="99"/>
    <w:rsid w:val="0042590E"/>
    <w:rPr>
      <w:rFonts w:ascii="Courier New" w:hAnsi="Courier New" w:cs="Courier New"/>
    </w:rPr>
  </w:style>
  <w:style w:type="character" w:styleId="ad">
    <w:name w:val="annotation reference"/>
    <w:uiPriority w:val="99"/>
    <w:rsid w:val="0002293A"/>
    <w:rPr>
      <w:sz w:val="16"/>
      <w:szCs w:val="16"/>
    </w:rPr>
  </w:style>
  <w:style w:type="paragraph" w:styleId="ae">
    <w:name w:val="annotation text"/>
    <w:basedOn w:val="a"/>
    <w:link w:val="Char3"/>
    <w:uiPriority w:val="99"/>
    <w:rsid w:val="0002293A"/>
    <w:rPr>
      <w:sz w:val="20"/>
      <w:szCs w:val="20"/>
    </w:rPr>
  </w:style>
  <w:style w:type="character" w:customStyle="1" w:styleId="Char3">
    <w:name w:val="Κείμενο σχολίου Char"/>
    <w:basedOn w:val="a0"/>
    <w:link w:val="ae"/>
    <w:uiPriority w:val="99"/>
    <w:rsid w:val="0002293A"/>
  </w:style>
  <w:style w:type="paragraph" w:styleId="af">
    <w:name w:val="annotation subject"/>
    <w:basedOn w:val="ae"/>
    <w:next w:val="ae"/>
    <w:link w:val="Char4"/>
    <w:rsid w:val="0002293A"/>
    <w:rPr>
      <w:b/>
      <w:bCs/>
    </w:rPr>
  </w:style>
  <w:style w:type="character" w:customStyle="1" w:styleId="Char4">
    <w:name w:val="Θέμα σχολίου Char"/>
    <w:link w:val="af"/>
    <w:rsid w:val="0002293A"/>
    <w:rPr>
      <w:b/>
      <w:bCs/>
    </w:rPr>
  </w:style>
  <w:style w:type="table" w:styleId="af0">
    <w:name w:val="Table Grid"/>
    <w:basedOn w:val="a1"/>
    <w:uiPriority w:val="39"/>
    <w:rsid w:val="00DC16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1696"/>
    <w:pPr>
      <w:spacing w:before="100" w:beforeAutospacing="1" w:after="100" w:afterAutospacing="1"/>
    </w:pPr>
  </w:style>
  <w:style w:type="paragraph" w:styleId="af1">
    <w:name w:val="footnote text"/>
    <w:aliases w:val="Footnote Text3,Footnote Text12,ALTS FOOTNOTE12,Footnote Text Char112,Footnote Text Char Char Char12,Footnote Text Char1 Char Char Char Char12,Footnote Text Char1 Char Char Char12,ALTS FOOTNOTE3,Footnote Text 2,ALTS FOOTNOTE,fn"/>
    <w:basedOn w:val="a"/>
    <w:link w:val="Char5"/>
    <w:uiPriority w:val="99"/>
    <w:qFormat/>
    <w:rsid w:val="00AE44BB"/>
    <w:rPr>
      <w:sz w:val="20"/>
      <w:szCs w:val="20"/>
    </w:rPr>
  </w:style>
  <w:style w:type="character" w:customStyle="1" w:styleId="Char5">
    <w:name w:val="Κείμενο υποσημείωσης Char"/>
    <w:aliases w:val="Footnote Text3 Char,Footnote Text12 Char,ALTS FOOTNOTE12 Char,Footnote Text Char112 Char,Footnote Text Char Char Char12 Char,Footnote Text Char1 Char Char Char Char12 Char,Footnote Text Char1 Char Char Char12 Char,fn Char"/>
    <w:basedOn w:val="a0"/>
    <w:link w:val="af1"/>
    <w:uiPriority w:val="99"/>
    <w:rsid w:val="00AE44BB"/>
  </w:style>
  <w:style w:type="character" w:styleId="af2">
    <w:name w:val="footnote reference"/>
    <w:aliases w:val="Appel note de bas de p,Nota,fr,o,Style 6,(NECG) Footnote Reference,Footnote,Footnote symbol,Footnote symbol Char,Footnote Char Char,Footnote number,Footnote reference number,note TESI"/>
    <w:uiPriority w:val="99"/>
    <w:rsid w:val="00AE44BB"/>
    <w:rPr>
      <w:vertAlign w:val="superscript"/>
    </w:rPr>
  </w:style>
  <w:style w:type="character" w:customStyle="1" w:styleId="NumberedParagraph">
    <w:name w:val="Numbered Paragraph"/>
    <w:rsid w:val="00954D2A"/>
    <w:rPr>
      <w:rFonts w:ascii="Times New Roman" w:hAnsi="Times New Roman"/>
      <w:sz w:val="24"/>
      <w:lang w:val="en-GB" w:eastAsia="en-US" w:bidi="ar-SA"/>
    </w:rPr>
  </w:style>
  <w:style w:type="paragraph" w:customStyle="1" w:styleId="-013">
    <w:name w:val="Στυλ Αριθμημένη διάρθρωση Αριστερά:  -013 εκ."/>
    <w:basedOn w:val="a"/>
    <w:rsid w:val="00954D2A"/>
    <w:pPr>
      <w:jc w:val="both"/>
    </w:pPr>
    <w:rPr>
      <w:noProof/>
      <w:lang w:val="en-US"/>
    </w:rPr>
  </w:style>
  <w:style w:type="character" w:customStyle="1" w:styleId="numberedparagraph0">
    <w:name w:val="numberedparagraph"/>
    <w:rsid w:val="00730DFE"/>
    <w:rPr>
      <w:rFonts w:cs="Times New Roman"/>
    </w:rPr>
  </w:style>
  <w:style w:type="character" w:customStyle="1" w:styleId="3Char">
    <w:name w:val="Επικεφαλίδα 3 Char"/>
    <w:link w:val="3"/>
    <w:rsid w:val="00910832"/>
    <w:rPr>
      <w:bCs/>
      <w:sz w:val="34"/>
      <w:szCs w:val="24"/>
      <w:u w:val="single"/>
    </w:rPr>
  </w:style>
  <w:style w:type="paragraph" w:customStyle="1" w:styleId="NormalJustified">
    <w:name w:val="Normal (Justified)"/>
    <w:basedOn w:val="a"/>
    <w:rsid w:val="0014355E"/>
    <w:pPr>
      <w:spacing w:before="120"/>
      <w:jc w:val="both"/>
    </w:pPr>
    <w:rPr>
      <w:rFonts w:ascii="Arial" w:hAnsi="Arial"/>
      <w:kern w:val="28"/>
      <w:szCs w:val="20"/>
      <w:lang w:val="en-GB" w:eastAsia="en-US"/>
    </w:rPr>
  </w:style>
  <w:style w:type="paragraph" w:customStyle="1" w:styleId="211">
    <w:name w:val="Σώμα κείμενου 21"/>
    <w:basedOn w:val="a"/>
    <w:rsid w:val="00A87A79"/>
    <w:pPr>
      <w:overflowPunct w:val="0"/>
      <w:autoSpaceDE w:val="0"/>
      <w:autoSpaceDN w:val="0"/>
      <w:adjustRightInd w:val="0"/>
      <w:spacing w:after="120" w:line="480" w:lineRule="auto"/>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7917">
      <w:bodyDiv w:val="1"/>
      <w:marLeft w:val="0"/>
      <w:marRight w:val="0"/>
      <w:marTop w:val="0"/>
      <w:marBottom w:val="0"/>
      <w:divBdr>
        <w:top w:val="none" w:sz="0" w:space="0" w:color="auto"/>
        <w:left w:val="none" w:sz="0" w:space="0" w:color="auto"/>
        <w:bottom w:val="none" w:sz="0" w:space="0" w:color="auto"/>
        <w:right w:val="none" w:sz="0" w:space="0" w:color="auto"/>
      </w:divBdr>
    </w:div>
    <w:div w:id="98380243">
      <w:bodyDiv w:val="1"/>
      <w:marLeft w:val="0"/>
      <w:marRight w:val="0"/>
      <w:marTop w:val="0"/>
      <w:marBottom w:val="0"/>
      <w:divBdr>
        <w:top w:val="none" w:sz="0" w:space="0" w:color="auto"/>
        <w:left w:val="none" w:sz="0" w:space="0" w:color="auto"/>
        <w:bottom w:val="none" w:sz="0" w:space="0" w:color="auto"/>
        <w:right w:val="none" w:sz="0" w:space="0" w:color="auto"/>
      </w:divBdr>
    </w:div>
    <w:div w:id="430975550">
      <w:bodyDiv w:val="1"/>
      <w:marLeft w:val="0"/>
      <w:marRight w:val="0"/>
      <w:marTop w:val="0"/>
      <w:marBottom w:val="0"/>
      <w:divBdr>
        <w:top w:val="none" w:sz="0" w:space="0" w:color="auto"/>
        <w:left w:val="none" w:sz="0" w:space="0" w:color="auto"/>
        <w:bottom w:val="none" w:sz="0" w:space="0" w:color="auto"/>
        <w:right w:val="none" w:sz="0" w:space="0" w:color="auto"/>
      </w:divBdr>
      <w:divsChild>
        <w:div w:id="1346830755">
          <w:marLeft w:val="0"/>
          <w:marRight w:val="0"/>
          <w:marTop w:val="0"/>
          <w:marBottom w:val="0"/>
          <w:divBdr>
            <w:top w:val="none" w:sz="0" w:space="0" w:color="auto"/>
            <w:left w:val="none" w:sz="0" w:space="0" w:color="auto"/>
            <w:bottom w:val="none" w:sz="0" w:space="0" w:color="auto"/>
            <w:right w:val="none" w:sz="0" w:space="0" w:color="auto"/>
          </w:divBdr>
        </w:div>
        <w:div w:id="1614555066">
          <w:marLeft w:val="0"/>
          <w:marRight w:val="0"/>
          <w:marTop w:val="0"/>
          <w:marBottom w:val="0"/>
          <w:divBdr>
            <w:top w:val="none" w:sz="0" w:space="0" w:color="auto"/>
            <w:left w:val="none" w:sz="0" w:space="0" w:color="auto"/>
            <w:bottom w:val="none" w:sz="0" w:space="0" w:color="auto"/>
            <w:right w:val="none" w:sz="0" w:space="0" w:color="auto"/>
          </w:divBdr>
        </w:div>
        <w:div w:id="445005314">
          <w:marLeft w:val="0"/>
          <w:marRight w:val="0"/>
          <w:marTop w:val="0"/>
          <w:marBottom w:val="0"/>
          <w:divBdr>
            <w:top w:val="none" w:sz="0" w:space="0" w:color="auto"/>
            <w:left w:val="none" w:sz="0" w:space="0" w:color="auto"/>
            <w:bottom w:val="none" w:sz="0" w:space="0" w:color="auto"/>
            <w:right w:val="none" w:sz="0" w:space="0" w:color="auto"/>
          </w:divBdr>
        </w:div>
        <w:div w:id="1612201692">
          <w:marLeft w:val="0"/>
          <w:marRight w:val="0"/>
          <w:marTop w:val="0"/>
          <w:marBottom w:val="0"/>
          <w:divBdr>
            <w:top w:val="none" w:sz="0" w:space="0" w:color="auto"/>
            <w:left w:val="none" w:sz="0" w:space="0" w:color="auto"/>
            <w:bottom w:val="none" w:sz="0" w:space="0" w:color="auto"/>
            <w:right w:val="none" w:sz="0" w:space="0" w:color="auto"/>
          </w:divBdr>
        </w:div>
        <w:div w:id="635064897">
          <w:marLeft w:val="0"/>
          <w:marRight w:val="0"/>
          <w:marTop w:val="0"/>
          <w:marBottom w:val="0"/>
          <w:divBdr>
            <w:top w:val="none" w:sz="0" w:space="0" w:color="auto"/>
            <w:left w:val="none" w:sz="0" w:space="0" w:color="auto"/>
            <w:bottom w:val="none" w:sz="0" w:space="0" w:color="auto"/>
            <w:right w:val="none" w:sz="0" w:space="0" w:color="auto"/>
          </w:divBdr>
        </w:div>
        <w:div w:id="608050056">
          <w:marLeft w:val="0"/>
          <w:marRight w:val="0"/>
          <w:marTop w:val="0"/>
          <w:marBottom w:val="0"/>
          <w:divBdr>
            <w:top w:val="none" w:sz="0" w:space="0" w:color="auto"/>
            <w:left w:val="none" w:sz="0" w:space="0" w:color="auto"/>
            <w:bottom w:val="none" w:sz="0" w:space="0" w:color="auto"/>
            <w:right w:val="none" w:sz="0" w:space="0" w:color="auto"/>
          </w:divBdr>
        </w:div>
        <w:div w:id="1126309614">
          <w:marLeft w:val="0"/>
          <w:marRight w:val="0"/>
          <w:marTop w:val="0"/>
          <w:marBottom w:val="0"/>
          <w:divBdr>
            <w:top w:val="none" w:sz="0" w:space="0" w:color="auto"/>
            <w:left w:val="none" w:sz="0" w:space="0" w:color="auto"/>
            <w:bottom w:val="none" w:sz="0" w:space="0" w:color="auto"/>
            <w:right w:val="none" w:sz="0" w:space="0" w:color="auto"/>
          </w:divBdr>
        </w:div>
      </w:divsChild>
    </w:div>
    <w:div w:id="451680269">
      <w:bodyDiv w:val="1"/>
      <w:marLeft w:val="0"/>
      <w:marRight w:val="0"/>
      <w:marTop w:val="0"/>
      <w:marBottom w:val="0"/>
      <w:divBdr>
        <w:top w:val="none" w:sz="0" w:space="0" w:color="auto"/>
        <w:left w:val="none" w:sz="0" w:space="0" w:color="auto"/>
        <w:bottom w:val="none" w:sz="0" w:space="0" w:color="auto"/>
        <w:right w:val="none" w:sz="0" w:space="0" w:color="auto"/>
      </w:divBdr>
    </w:div>
    <w:div w:id="621496914">
      <w:bodyDiv w:val="1"/>
      <w:marLeft w:val="0"/>
      <w:marRight w:val="0"/>
      <w:marTop w:val="0"/>
      <w:marBottom w:val="0"/>
      <w:divBdr>
        <w:top w:val="none" w:sz="0" w:space="0" w:color="auto"/>
        <w:left w:val="none" w:sz="0" w:space="0" w:color="auto"/>
        <w:bottom w:val="none" w:sz="0" w:space="0" w:color="auto"/>
        <w:right w:val="none" w:sz="0" w:space="0" w:color="auto"/>
      </w:divBdr>
    </w:div>
    <w:div w:id="887302749">
      <w:bodyDiv w:val="1"/>
      <w:marLeft w:val="0"/>
      <w:marRight w:val="0"/>
      <w:marTop w:val="0"/>
      <w:marBottom w:val="0"/>
      <w:divBdr>
        <w:top w:val="none" w:sz="0" w:space="0" w:color="auto"/>
        <w:left w:val="none" w:sz="0" w:space="0" w:color="auto"/>
        <w:bottom w:val="none" w:sz="0" w:space="0" w:color="auto"/>
        <w:right w:val="none" w:sz="0" w:space="0" w:color="auto"/>
      </w:divBdr>
    </w:div>
    <w:div w:id="899290821">
      <w:bodyDiv w:val="1"/>
      <w:marLeft w:val="0"/>
      <w:marRight w:val="0"/>
      <w:marTop w:val="0"/>
      <w:marBottom w:val="0"/>
      <w:divBdr>
        <w:top w:val="none" w:sz="0" w:space="0" w:color="auto"/>
        <w:left w:val="none" w:sz="0" w:space="0" w:color="auto"/>
        <w:bottom w:val="none" w:sz="0" w:space="0" w:color="auto"/>
        <w:right w:val="none" w:sz="0" w:space="0" w:color="auto"/>
      </w:divBdr>
    </w:div>
    <w:div w:id="903446013">
      <w:bodyDiv w:val="1"/>
      <w:marLeft w:val="0"/>
      <w:marRight w:val="0"/>
      <w:marTop w:val="0"/>
      <w:marBottom w:val="0"/>
      <w:divBdr>
        <w:top w:val="none" w:sz="0" w:space="0" w:color="auto"/>
        <w:left w:val="none" w:sz="0" w:space="0" w:color="auto"/>
        <w:bottom w:val="none" w:sz="0" w:space="0" w:color="auto"/>
        <w:right w:val="none" w:sz="0" w:space="0" w:color="auto"/>
      </w:divBdr>
    </w:div>
    <w:div w:id="1013073188">
      <w:bodyDiv w:val="1"/>
      <w:marLeft w:val="0"/>
      <w:marRight w:val="0"/>
      <w:marTop w:val="0"/>
      <w:marBottom w:val="0"/>
      <w:divBdr>
        <w:top w:val="none" w:sz="0" w:space="0" w:color="auto"/>
        <w:left w:val="none" w:sz="0" w:space="0" w:color="auto"/>
        <w:bottom w:val="none" w:sz="0" w:space="0" w:color="auto"/>
        <w:right w:val="none" w:sz="0" w:space="0" w:color="auto"/>
      </w:divBdr>
    </w:div>
    <w:div w:id="1194807254">
      <w:bodyDiv w:val="1"/>
      <w:marLeft w:val="0"/>
      <w:marRight w:val="0"/>
      <w:marTop w:val="0"/>
      <w:marBottom w:val="0"/>
      <w:divBdr>
        <w:top w:val="none" w:sz="0" w:space="0" w:color="auto"/>
        <w:left w:val="none" w:sz="0" w:space="0" w:color="auto"/>
        <w:bottom w:val="none" w:sz="0" w:space="0" w:color="auto"/>
        <w:right w:val="none" w:sz="0" w:space="0" w:color="auto"/>
      </w:divBdr>
    </w:div>
    <w:div w:id="1213729055">
      <w:bodyDiv w:val="1"/>
      <w:marLeft w:val="0"/>
      <w:marRight w:val="0"/>
      <w:marTop w:val="0"/>
      <w:marBottom w:val="0"/>
      <w:divBdr>
        <w:top w:val="none" w:sz="0" w:space="0" w:color="auto"/>
        <w:left w:val="none" w:sz="0" w:space="0" w:color="auto"/>
        <w:bottom w:val="none" w:sz="0" w:space="0" w:color="auto"/>
        <w:right w:val="none" w:sz="0" w:space="0" w:color="auto"/>
      </w:divBdr>
    </w:div>
    <w:div w:id="1629235628">
      <w:bodyDiv w:val="1"/>
      <w:marLeft w:val="0"/>
      <w:marRight w:val="0"/>
      <w:marTop w:val="0"/>
      <w:marBottom w:val="0"/>
      <w:divBdr>
        <w:top w:val="none" w:sz="0" w:space="0" w:color="auto"/>
        <w:left w:val="none" w:sz="0" w:space="0" w:color="auto"/>
        <w:bottom w:val="none" w:sz="0" w:space="0" w:color="auto"/>
        <w:right w:val="none" w:sz="0" w:space="0" w:color="auto"/>
      </w:divBdr>
    </w:div>
    <w:div w:id="1646155828">
      <w:bodyDiv w:val="1"/>
      <w:marLeft w:val="0"/>
      <w:marRight w:val="0"/>
      <w:marTop w:val="0"/>
      <w:marBottom w:val="0"/>
      <w:divBdr>
        <w:top w:val="none" w:sz="0" w:space="0" w:color="auto"/>
        <w:left w:val="none" w:sz="0" w:space="0" w:color="auto"/>
        <w:bottom w:val="none" w:sz="0" w:space="0" w:color="auto"/>
        <w:right w:val="none" w:sz="0" w:space="0" w:color="auto"/>
      </w:divBdr>
    </w:div>
    <w:div w:id="1704789245">
      <w:bodyDiv w:val="1"/>
      <w:marLeft w:val="0"/>
      <w:marRight w:val="0"/>
      <w:marTop w:val="0"/>
      <w:marBottom w:val="0"/>
      <w:divBdr>
        <w:top w:val="none" w:sz="0" w:space="0" w:color="auto"/>
        <w:left w:val="none" w:sz="0" w:space="0" w:color="auto"/>
        <w:bottom w:val="none" w:sz="0" w:space="0" w:color="auto"/>
        <w:right w:val="none" w:sz="0" w:space="0" w:color="auto"/>
      </w:divBdr>
    </w:div>
    <w:div w:id="1784568036">
      <w:bodyDiv w:val="1"/>
      <w:marLeft w:val="0"/>
      <w:marRight w:val="0"/>
      <w:marTop w:val="0"/>
      <w:marBottom w:val="0"/>
      <w:divBdr>
        <w:top w:val="none" w:sz="0" w:space="0" w:color="auto"/>
        <w:left w:val="none" w:sz="0" w:space="0" w:color="auto"/>
        <w:bottom w:val="none" w:sz="0" w:space="0" w:color="auto"/>
        <w:right w:val="none" w:sz="0" w:space="0" w:color="auto"/>
      </w:divBdr>
    </w:div>
    <w:div w:id="1886790541">
      <w:bodyDiv w:val="1"/>
      <w:marLeft w:val="0"/>
      <w:marRight w:val="0"/>
      <w:marTop w:val="0"/>
      <w:marBottom w:val="0"/>
      <w:divBdr>
        <w:top w:val="none" w:sz="0" w:space="0" w:color="auto"/>
        <w:left w:val="none" w:sz="0" w:space="0" w:color="auto"/>
        <w:bottom w:val="none" w:sz="0" w:space="0" w:color="auto"/>
        <w:right w:val="none" w:sz="0" w:space="0" w:color="auto"/>
      </w:divBdr>
    </w:div>
    <w:div w:id="21456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analysis@eett.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arket.analysis@eett.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esktop\TELE-WORKING\&#924;&#915;\&#932;&#953;&#956;&#959;&#954;&#945;&#964;&#940;&#955;&#959;&#947;&#959;&#953;%202017-2019_1-200Mbps_v2%20-%20AO%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l-GR" sz="1200" b="0" i="0" u="none" strike="noStrike" baseline="0">
                <a:effectLst/>
              </a:rPr>
              <a:t>Διακύμανση τιμών κοστολογικού για κυκλώματα </a:t>
            </a:r>
            <a:r>
              <a:rPr lang="en-US" sz="1200" b="0" i="0" u="none" strike="noStrike" baseline="0">
                <a:effectLst/>
              </a:rPr>
              <a:t>Ethernet</a:t>
            </a:r>
            <a:r>
              <a:rPr lang="en-US" sz="1200" b="0" i="0" baseline="0">
                <a:effectLst/>
              </a:rPr>
              <a:t> </a:t>
            </a:r>
            <a:r>
              <a:rPr lang="en-US" sz="1050" b="0" i="0" baseline="0">
                <a:effectLst/>
              </a:rPr>
              <a:t>2017 - 2019</a:t>
            </a:r>
            <a:r>
              <a:rPr lang="en-US" sz="1800" b="0" i="0" baseline="0">
                <a:effectLst/>
              </a:rPr>
              <a:t>  </a:t>
            </a:r>
            <a:endParaRPr lang="el-GR">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 </a:t>
            </a:r>
          </a:p>
        </c:rich>
      </c:tx>
      <c:layout/>
      <c:overlay val="0"/>
      <c:spPr>
        <a:noFill/>
        <a:ln>
          <a:noFill/>
        </a:ln>
        <a:effectLst/>
      </c:spPr>
    </c:title>
    <c:autoTitleDeleted val="0"/>
    <c:plotArea>
      <c:layout>
        <c:manualLayout>
          <c:layoutTarget val="inner"/>
          <c:xMode val="edge"/>
          <c:yMode val="edge"/>
          <c:x val="0.1127951962047223"/>
          <c:y val="0.15392458210165591"/>
          <c:w val="0.8367475943447652"/>
          <c:h val="0.65614944934208808"/>
        </c:manualLayout>
      </c:layout>
      <c:scatterChart>
        <c:scatterStyle val="smoothMarker"/>
        <c:varyColors val="0"/>
        <c:ser>
          <c:idx val="1"/>
          <c:order val="0"/>
          <c:tx>
            <c:v>2017</c:v>
          </c:tx>
          <c:spPr>
            <a:ln w="28575" cap="rnd">
              <a:solidFill>
                <a:schemeClr val="accent2"/>
              </a:solidFill>
              <a:round/>
            </a:ln>
            <a:effectLst/>
          </c:spPr>
          <c:xVal>
            <c:numRef>
              <c:f>'2017-2019'!$C$35:$C$55</c:f>
              <c:numCache>
                <c:formatCode>0</c:formatCode>
                <c:ptCount val="21"/>
                <c:pt idx="0">
                  <c:v>1</c:v>
                </c:pt>
                <c:pt idx="1">
                  <c:v>2</c:v>
                </c:pt>
                <c:pt idx="2">
                  <c:v>4</c:v>
                </c:pt>
                <c:pt idx="3">
                  <c:v>6</c:v>
                </c:pt>
                <c:pt idx="4">
                  <c:v>8</c:v>
                </c:pt>
                <c:pt idx="5">
                  <c:v>10</c:v>
                </c:pt>
                <c:pt idx="6">
                  <c:v>15</c:v>
                </c:pt>
                <c:pt idx="7">
                  <c:v>20</c:v>
                </c:pt>
                <c:pt idx="8">
                  <c:v>25</c:v>
                </c:pt>
                <c:pt idx="9">
                  <c:v>30</c:v>
                </c:pt>
                <c:pt idx="10">
                  <c:v>35</c:v>
                </c:pt>
                <c:pt idx="11">
                  <c:v>40</c:v>
                </c:pt>
                <c:pt idx="12">
                  <c:v>45</c:v>
                </c:pt>
                <c:pt idx="13">
                  <c:v>50</c:v>
                </c:pt>
                <c:pt idx="14">
                  <c:v>60</c:v>
                </c:pt>
                <c:pt idx="15">
                  <c:v>70</c:v>
                </c:pt>
                <c:pt idx="16">
                  <c:v>80</c:v>
                </c:pt>
                <c:pt idx="17">
                  <c:v>90</c:v>
                </c:pt>
                <c:pt idx="18">
                  <c:v>100</c:v>
                </c:pt>
                <c:pt idx="19">
                  <c:v>150</c:v>
                </c:pt>
                <c:pt idx="20">
                  <c:v>200</c:v>
                </c:pt>
              </c:numCache>
            </c:numRef>
          </c:xVal>
          <c:yVal>
            <c:numRef>
              <c:f>'2017-2019'!$D$35:$D$55</c:f>
              <c:numCache>
                <c:formatCode>#,##0.00\ "€"</c:formatCode>
                <c:ptCount val="21"/>
                <c:pt idx="0">
                  <c:v>128</c:v>
                </c:pt>
                <c:pt idx="1">
                  <c:v>139</c:v>
                </c:pt>
                <c:pt idx="2">
                  <c:v>187.5</c:v>
                </c:pt>
                <c:pt idx="3">
                  <c:v>288</c:v>
                </c:pt>
                <c:pt idx="4">
                  <c:v>309</c:v>
                </c:pt>
                <c:pt idx="5">
                  <c:v>329</c:v>
                </c:pt>
                <c:pt idx="6">
                  <c:v>381</c:v>
                </c:pt>
                <c:pt idx="7">
                  <c:v>433</c:v>
                </c:pt>
                <c:pt idx="8">
                  <c:v>484</c:v>
                </c:pt>
                <c:pt idx="9">
                  <c:v>535</c:v>
                </c:pt>
                <c:pt idx="10">
                  <c:v>586</c:v>
                </c:pt>
                <c:pt idx="11">
                  <c:v>636</c:v>
                </c:pt>
                <c:pt idx="12">
                  <c:v>686</c:v>
                </c:pt>
                <c:pt idx="13">
                  <c:v>732</c:v>
                </c:pt>
                <c:pt idx="14">
                  <c:v>812</c:v>
                </c:pt>
                <c:pt idx="15">
                  <c:v>886</c:v>
                </c:pt>
                <c:pt idx="16">
                  <c:v>948</c:v>
                </c:pt>
                <c:pt idx="17">
                  <c:v>1000</c:v>
                </c:pt>
                <c:pt idx="18">
                  <c:v>1077</c:v>
                </c:pt>
                <c:pt idx="19">
                  <c:v>1663</c:v>
                </c:pt>
                <c:pt idx="20">
                  <c:v>1939</c:v>
                </c:pt>
              </c:numCache>
            </c:numRef>
          </c:yVal>
          <c:smooth val="1"/>
          <c:extLst xmlns:c16r2="http://schemas.microsoft.com/office/drawing/2015/06/chart">
            <c:ext xmlns:c16="http://schemas.microsoft.com/office/drawing/2014/chart" uri="{C3380CC4-5D6E-409C-BE32-E72D297353CC}">
              <c16:uniqueId val="{00000000-B07C-4545-9A06-DDD16F0D8483}"/>
            </c:ext>
          </c:extLst>
        </c:ser>
        <c:ser>
          <c:idx val="2"/>
          <c:order val="1"/>
          <c:tx>
            <c:v>2018</c:v>
          </c:tx>
          <c:spPr>
            <a:ln w="28575" cap="rnd">
              <a:solidFill>
                <a:schemeClr val="accent3"/>
              </a:solidFill>
              <a:round/>
            </a:ln>
            <a:effectLst/>
          </c:spPr>
          <c:xVal>
            <c:numRef>
              <c:f>'2017-2019'!$C$35:$C$55</c:f>
              <c:numCache>
                <c:formatCode>0</c:formatCode>
                <c:ptCount val="21"/>
                <c:pt idx="0">
                  <c:v>1</c:v>
                </c:pt>
                <c:pt idx="1">
                  <c:v>2</c:v>
                </c:pt>
                <c:pt idx="2">
                  <c:v>4</c:v>
                </c:pt>
                <c:pt idx="3">
                  <c:v>6</c:v>
                </c:pt>
                <c:pt idx="4">
                  <c:v>8</c:v>
                </c:pt>
                <c:pt idx="5">
                  <c:v>10</c:v>
                </c:pt>
                <c:pt idx="6">
                  <c:v>15</c:v>
                </c:pt>
                <c:pt idx="7">
                  <c:v>20</c:v>
                </c:pt>
                <c:pt idx="8">
                  <c:v>25</c:v>
                </c:pt>
                <c:pt idx="9">
                  <c:v>30</c:v>
                </c:pt>
                <c:pt idx="10">
                  <c:v>35</c:v>
                </c:pt>
                <c:pt idx="11">
                  <c:v>40</c:v>
                </c:pt>
                <c:pt idx="12">
                  <c:v>45</c:v>
                </c:pt>
                <c:pt idx="13">
                  <c:v>50</c:v>
                </c:pt>
                <c:pt idx="14">
                  <c:v>60</c:v>
                </c:pt>
                <c:pt idx="15">
                  <c:v>70</c:v>
                </c:pt>
                <c:pt idx="16">
                  <c:v>80</c:v>
                </c:pt>
                <c:pt idx="17">
                  <c:v>90</c:v>
                </c:pt>
                <c:pt idx="18">
                  <c:v>100</c:v>
                </c:pt>
                <c:pt idx="19">
                  <c:v>150</c:v>
                </c:pt>
                <c:pt idx="20">
                  <c:v>200</c:v>
                </c:pt>
              </c:numCache>
            </c:numRef>
          </c:xVal>
          <c:yVal>
            <c:numRef>
              <c:f>'2017-2019'!$E$35:$E$55</c:f>
              <c:numCache>
                <c:formatCode>#,##0.00\ "€"</c:formatCode>
                <c:ptCount val="21"/>
                <c:pt idx="0">
                  <c:v>141.65</c:v>
                </c:pt>
                <c:pt idx="1">
                  <c:v>147.471704658432</c:v>
                </c:pt>
                <c:pt idx="2">
                  <c:v>171</c:v>
                </c:pt>
                <c:pt idx="3">
                  <c:v>198</c:v>
                </c:pt>
                <c:pt idx="4">
                  <c:v>212</c:v>
                </c:pt>
                <c:pt idx="5">
                  <c:v>226</c:v>
                </c:pt>
                <c:pt idx="6">
                  <c:v>261.39999999999998</c:v>
                </c:pt>
                <c:pt idx="7">
                  <c:v>296</c:v>
                </c:pt>
                <c:pt idx="8">
                  <c:v>331</c:v>
                </c:pt>
                <c:pt idx="9">
                  <c:v>366</c:v>
                </c:pt>
                <c:pt idx="10">
                  <c:v>400.8</c:v>
                </c:pt>
                <c:pt idx="11">
                  <c:v>435</c:v>
                </c:pt>
                <c:pt idx="12">
                  <c:v>455</c:v>
                </c:pt>
                <c:pt idx="13">
                  <c:v>449</c:v>
                </c:pt>
                <c:pt idx="14">
                  <c:v>465</c:v>
                </c:pt>
                <c:pt idx="15">
                  <c:v>515</c:v>
                </c:pt>
                <c:pt idx="16">
                  <c:v>560</c:v>
                </c:pt>
                <c:pt idx="17">
                  <c:v>590</c:v>
                </c:pt>
                <c:pt idx="18">
                  <c:v>570</c:v>
                </c:pt>
                <c:pt idx="19">
                  <c:v>1050</c:v>
                </c:pt>
                <c:pt idx="20">
                  <c:v>1250</c:v>
                </c:pt>
              </c:numCache>
            </c:numRef>
          </c:yVal>
          <c:smooth val="1"/>
          <c:extLst xmlns:c16r2="http://schemas.microsoft.com/office/drawing/2015/06/chart">
            <c:ext xmlns:c16="http://schemas.microsoft.com/office/drawing/2014/chart" uri="{C3380CC4-5D6E-409C-BE32-E72D297353CC}">
              <c16:uniqueId val="{00000001-B07C-4545-9A06-DDD16F0D8483}"/>
            </c:ext>
          </c:extLst>
        </c:ser>
        <c:ser>
          <c:idx val="3"/>
          <c:order val="2"/>
          <c:tx>
            <c:v>2019</c:v>
          </c:tx>
          <c:spPr>
            <a:ln w="28575" cap="rnd">
              <a:solidFill>
                <a:schemeClr val="accent4"/>
              </a:solidFill>
              <a:round/>
            </a:ln>
            <a:effectLst/>
          </c:spPr>
          <c:xVal>
            <c:numRef>
              <c:f>'2017-2019'!$C$35:$C$55</c:f>
              <c:numCache>
                <c:formatCode>0</c:formatCode>
                <c:ptCount val="21"/>
                <c:pt idx="0">
                  <c:v>1</c:v>
                </c:pt>
                <c:pt idx="1">
                  <c:v>2</c:v>
                </c:pt>
                <c:pt idx="2">
                  <c:v>4</c:v>
                </c:pt>
                <c:pt idx="3">
                  <c:v>6</c:v>
                </c:pt>
                <c:pt idx="4">
                  <c:v>8</c:v>
                </c:pt>
                <c:pt idx="5">
                  <c:v>10</c:v>
                </c:pt>
                <c:pt idx="6">
                  <c:v>15</c:v>
                </c:pt>
                <c:pt idx="7">
                  <c:v>20</c:v>
                </c:pt>
                <c:pt idx="8">
                  <c:v>25</c:v>
                </c:pt>
                <c:pt idx="9">
                  <c:v>30</c:v>
                </c:pt>
                <c:pt idx="10">
                  <c:v>35</c:v>
                </c:pt>
                <c:pt idx="11">
                  <c:v>40</c:v>
                </c:pt>
                <c:pt idx="12">
                  <c:v>45</c:v>
                </c:pt>
                <c:pt idx="13">
                  <c:v>50</c:v>
                </c:pt>
                <c:pt idx="14">
                  <c:v>60</c:v>
                </c:pt>
                <c:pt idx="15">
                  <c:v>70</c:v>
                </c:pt>
                <c:pt idx="16">
                  <c:v>80</c:v>
                </c:pt>
                <c:pt idx="17">
                  <c:v>90</c:v>
                </c:pt>
                <c:pt idx="18">
                  <c:v>100</c:v>
                </c:pt>
                <c:pt idx="19">
                  <c:v>150</c:v>
                </c:pt>
                <c:pt idx="20">
                  <c:v>200</c:v>
                </c:pt>
              </c:numCache>
            </c:numRef>
          </c:xVal>
          <c:yVal>
            <c:numRef>
              <c:f>'2017-2019'!$F$35:$F$55</c:f>
              <c:numCache>
                <c:formatCode>#,##0.00\ "€"</c:formatCode>
                <c:ptCount val="21"/>
                <c:pt idx="0">
                  <c:v>126.50631454764653</c:v>
                </c:pt>
                <c:pt idx="1">
                  <c:v>130.75631454764653</c:v>
                </c:pt>
                <c:pt idx="2">
                  <c:v>156.14999999999998</c:v>
                </c:pt>
                <c:pt idx="3">
                  <c:v>176.32863355798537</c:v>
                </c:pt>
                <c:pt idx="4">
                  <c:v>187.52863355798536</c:v>
                </c:pt>
                <c:pt idx="5">
                  <c:v>198.72863355798535</c:v>
                </c:pt>
                <c:pt idx="6">
                  <c:v>227.02863355798536</c:v>
                </c:pt>
                <c:pt idx="7">
                  <c:v>255.02863355798536</c:v>
                </c:pt>
                <c:pt idx="8">
                  <c:v>282.52863355798536</c:v>
                </c:pt>
                <c:pt idx="9">
                  <c:v>310.42863355798534</c:v>
                </c:pt>
                <c:pt idx="10">
                  <c:v>338.02863355798536</c:v>
                </c:pt>
                <c:pt idx="11">
                  <c:v>361.02863355798536</c:v>
                </c:pt>
                <c:pt idx="12">
                  <c:v>381.42863355798534</c:v>
                </c:pt>
                <c:pt idx="13">
                  <c:v>390.02863355798536</c:v>
                </c:pt>
                <c:pt idx="14">
                  <c:v>392.02863355798536</c:v>
                </c:pt>
                <c:pt idx="15">
                  <c:v>429.02863355798536</c:v>
                </c:pt>
                <c:pt idx="16">
                  <c:v>465.02863355798536</c:v>
                </c:pt>
                <c:pt idx="17">
                  <c:v>471.02863355798536</c:v>
                </c:pt>
                <c:pt idx="18">
                  <c:v>507.52863355798536</c:v>
                </c:pt>
                <c:pt idx="19">
                  <c:v>713</c:v>
                </c:pt>
                <c:pt idx="20">
                  <c:v>880.3</c:v>
                </c:pt>
              </c:numCache>
            </c:numRef>
          </c:yVal>
          <c:smooth val="1"/>
          <c:extLst xmlns:c16r2="http://schemas.microsoft.com/office/drawing/2015/06/chart">
            <c:ext xmlns:c16="http://schemas.microsoft.com/office/drawing/2014/chart" uri="{C3380CC4-5D6E-409C-BE32-E72D297353CC}">
              <c16:uniqueId val="{00000002-B07C-4545-9A06-DDD16F0D8483}"/>
            </c:ext>
          </c:extLst>
        </c:ser>
        <c:dLbls>
          <c:showLegendKey val="0"/>
          <c:showVal val="0"/>
          <c:showCatName val="0"/>
          <c:showSerName val="0"/>
          <c:showPercent val="0"/>
          <c:showBubbleSize val="0"/>
        </c:dLbls>
        <c:axId val="1718225824"/>
        <c:axId val="1718218752"/>
      </c:scatterChart>
      <c:valAx>
        <c:axId val="1718225824"/>
        <c:scaling>
          <c:orientation val="minMax"/>
          <c:max val="200"/>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18218752"/>
        <c:crosses val="autoZero"/>
        <c:crossBetween val="midCat"/>
      </c:valAx>
      <c:valAx>
        <c:axId val="1718218752"/>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0\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18225824"/>
        <c:crosses val="autoZero"/>
        <c:crossBetween val="midCat"/>
        <c:majorUnit val="2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DC0B-AD0D-4D3B-A041-5B5E186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7537</Words>
  <Characters>42178</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Μαρούσι, 22-4-2002</vt:lpstr>
    </vt:vector>
  </TitlesOfParts>
  <Company>E.E.T.T.</Company>
  <LinksUpToDate>false</LinksUpToDate>
  <CharactersWithSpaces>49616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Μαρούσι, 22-4-2002</dc:title>
  <dc:creator>orfanidou</dc:creator>
  <cp:lastModifiedBy>Fragoulopoulos Stratos</cp:lastModifiedBy>
  <cp:revision>4</cp:revision>
  <cp:lastPrinted>2020-05-27T13:14:00Z</cp:lastPrinted>
  <dcterms:created xsi:type="dcterms:W3CDTF">2020-06-01T13:09:00Z</dcterms:created>
  <dcterms:modified xsi:type="dcterms:W3CDTF">2020-06-01T13:12:00Z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