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ΥΠΗΡΕΣΙΕΣ ΠΟΛΥΜΕΣΙΚΗΣ ΠΛΗΡΟΦΟΡΗΣΗΣ ΚΑΙ ΚΑΤΑΛΟΓΟΥ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9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1.</w:t>
      </w:r>
      <w:r w:rsidR="00720EAE">
        <w:rPr>
          <w:rFonts w:asciiTheme="majorHAnsi" w:hAnsiTheme="majorHAnsi"/>
          <w:color w:val="244061" w:themeColor="accent1" w:themeShade="80"/>
          <w:sz w:val="28"/>
          <w:szCs w:val="24"/>
        </w:rPr>
        <w:t>1</w:t>
      </w:r>
    </w:p>
    <w:p w:rsidR="009B274B" w:rsidRPr="009B274B" w:rsidRDefault="00720EAE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Σεπτέμβριος</w:t>
      </w: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</w:t>
      </w:r>
      <w:r w:rsidR="009B274B" w:rsidRPr="009B274B">
        <w:rPr>
          <w:rFonts w:asciiTheme="majorHAnsi" w:hAnsiTheme="majorHAnsi"/>
          <w:color w:val="244061" w:themeColor="accent1" w:themeShade="80"/>
          <w:sz w:val="28"/>
          <w:szCs w:val="24"/>
        </w:rPr>
        <w:t>2015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Default="00C57136" w:rsidP="00C57136">
          <w:pPr>
            <w:pStyle w:val="ad"/>
          </w:pPr>
          <w:proofErr w:type="spellStart"/>
          <w:r>
            <w:t>Περιεχόμενα</w:t>
          </w:r>
          <w:proofErr w:type="spellEnd"/>
        </w:p>
        <w:p w:rsidR="002B08DB" w:rsidRDefault="005246F6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24907028" w:history="1">
            <w:r w:rsidR="002B08DB" w:rsidRPr="00127618">
              <w:rPr>
                <w:rStyle w:val="-"/>
              </w:rPr>
              <w:t>Εισαγωγή</w:t>
            </w:r>
            <w:r w:rsidR="002B08D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08DB">
              <w:rPr>
                <w:webHidden/>
              </w:rPr>
              <w:instrText xml:space="preserve"> PAGEREF _Toc424907028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B08DB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08DB" w:rsidRDefault="005246F6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24907029" w:history="1">
            <w:r w:rsidR="002B08DB" w:rsidRPr="00127618">
              <w:rPr>
                <w:rStyle w:val="-"/>
                <w:noProof/>
              </w:rPr>
              <w:t>Υπόχρεοι προς συμπλήρωση:</w:t>
            </w:r>
            <w:r w:rsidR="002B08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08DB">
              <w:rPr>
                <w:noProof/>
                <w:webHidden/>
              </w:rPr>
              <w:instrText xml:space="preserve"> PAGEREF _Toc424907029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08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08DB" w:rsidRDefault="005246F6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24907030" w:history="1">
            <w:r w:rsidR="002B08DB" w:rsidRPr="00127618">
              <w:rPr>
                <w:rStyle w:val="-"/>
                <w:noProof/>
              </w:rPr>
              <w:t>Χρονοδιάγραμμα</w:t>
            </w:r>
            <w:r w:rsidR="002B08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08DB">
              <w:rPr>
                <w:noProof/>
                <w:webHidden/>
              </w:rPr>
              <w:instrText xml:space="preserve"> PAGEREF _Toc424907030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08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08DB" w:rsidRDefault="005246F6">
          <w:pPr>
            <w:pStyle w:val="10"/>
            <w:rPr>
              <w:rFonts w:eastAsiaTheme="minorEastAsia"/>
              <w:lang w:eastAsia="el-GR"/>
            </w:rPr>
          </w:pPr>
          <w:hyperlink w:anchor="_Toc424907031" w:history="1">
            <w:r w:rsidR="002B08DB" w:rsidRPr="00127618">
              <w:rPr>
                <w:rStyle w:val="-"/>
              </w:rPr>
              <w:t>Ορισμοί και διευκρινίσεις</w:t>
            </w:r>
            <w:r w:rsidR="002B08D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08DB">
              <w:rPr>
                <w:webHidden/>
              </w:rPr>
              <w:instrText xml:space="preserve"> PAGEREF _Toc424907031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B08DB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B08DB" w:rsidRDefault="005246F6">
          <w:pPr>
            <w:pStyle w:val="10"/>
            <w:rPr>
              <w:rFonts w:eastAsiaTheme="minorEastAsia"/>
              <w:lang w:eastAsia="el-GR"/>
            </w:rPr>
          </w:pPr>
          <w:hyperlink w:anchor="_Toc424907032" w:history="1">
            <w:r w:rsidR="002B08DB" w:rsidRPr="00127618">
              <w:rPr>
                <w:rStyle w:val="-"/>
              </w:rPr>
              <w:t>Οδηγίες συμπλήρωσης</w:t>
            </w:r>
            <w:r w:rsidR="002B08D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08DB">
              <w:rPr>
                <w:webHidden/>
              </w:rPr>
              <w:instrText xml:space="preserve"> PAGEREF _Toc424907032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B08DB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57136" w:rsidRDefault="005246F6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24907028"/>
      <w:r>
        <w:lastRenderedPageBreak/>
        <w:t>Εισαγωγή</w:t>
      </w:r>
      <w:bookmarkEnd w:id="0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0744E1" w:rsidRPr="003A255E" w:rsidRDefault="000744E1" w:rsidP="000744E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09 Υπηρεσί</w:t>
      </w:r>
      <w:r w:rsidR="00B30023">
        <w:rPr>
          <w:b/>
          <w:sz w:val="24"/>
          <w:szCs w:val="24"/>
        </w:rPr>
        <w:t>ε</w:t>
      </w:r>
      <w:r>
        <w:rPr>
          <w:b/>
          <w:sz w:val="24"/>
          <w:szCs w:val="24"/>
        </w:rPr>
        <w:t xml:space="preserve">ς </w:t>
      </w:r>
      <w:proofErr w:type="spellStart"/>
      <w:r>
        <w:rPr>
          <w:b/>
          <w:sz w:val="24"/>
          <w:szCs w:val="24"/>
        </w:rPr>
        <w:t>πολυμεσικής</w:t>
      </w:r>
      <w:proofErr w:type="spellEnd"/>
    </w:p>
    <w:p w:rsidR="00B30023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Πρόκειται για νέο ερωτηματολόγιο.</w:t>
      </w:r>
    </w:p>
    <w:p w:rsidR="000744E1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Αποσκοπεί στη συγκέντρωση στοιχείων</w:t>
      </w:r>
      <w:r w:rsidR="000744E1" w:rsidRPr="005813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για </w:t>
      </w:r>
      <w:r w:rsidR="000744E1">
        <w:rPr>
          <w:sz w:val="24"/>
          <w:szCs w:val="24"/>
        </w:rPr>
        <w:t xml:space="preserve">την κίνηση και τα έσοδα των υπηρεσιών </w:t>
      </w:r>
      <w:proofErr w:type="spellStart"/>
      <w:r w:rsidR="000744E1">
        <w:rPr>
          <w:sz w:val="24"/>
          <w:szCs w:val="24"/>
        </w:rPr>
        <w:t>πολυμεσικής</w:t>
      </w:r>
      <w:proofErr w:type="spellEnd"/>
      <w:r w:rsidR="000744E1">
        <w:rPr>
          <w:sz w:val="24"/>
          <w:szCs w:val="24"/>
        </w:rPr>
        <w:t xml:space="preserve"> πληροφόρησης καθώς και των υπηρεσιών καταλόγου στην εγχώρια αγορά</w:t>
      </w:r>
      <w:r w:rsidR="000744E1" w:rsidRPr="0058137D">
        <w:rPr>
          <w:sz w:val="24"/>
          <w:szCs w:val="24"/>
        </w:rPr>
        <w:t xml:space="preserve">. </w:t>
      </w:r>
      <w:r w:rsidR="00464FBC">
        <w:rPr>
          <w:sz w:val="24"/>
          <w:szCs w:val="24"/>
        </w:rPr>
        <w:t>Απαρτίζεται από μία ενότητα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Απαρτίζεται από δύο ενότητες:</w:t>
      </w:r>
    </w:p>
    <w:p w:rsidR="000744E1" w:rsidRPr="00D86EFE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Στην</w:t>
      </w:r>
      <w:r w:rsidRPr="00D86EFE">
        <w:rPr>
          <w:sz w:val="24"/>
          <w:szCs w:val="24"/>
        </w:rPr>
        <w:t xml:space="preserve"> πρώτη ενότητα «Συνδέσεις σταθερής» </w:t>
      </w:r>
      <w:r>
        <w:rPr>
          <w:sz w:val="24"/>
          <w:szCs w:val="24"/>
        </w:rPr>
        <w:t xml:space="preserve">κάθε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τέτοιων υπηρεσιών καταγράφει την κίνηση, τα έσοδα του καθώς και αυτά του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δικτύου για τη διάθεση των υπηρεσιών. Οι υπηρεσίες έχουν  ταξινομηθεί σε 6 κατηγορίες εκ των οποίων 5 αφορούν συγκεκριμένες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και μια τις υπόλοιπες.</w:t>
      </w:r>
    </w:p>
    <w:p w:rsidR="000744E1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Στη</w:t>
      </w:r>
      <w:r w:rsidRPr="00D86EFE">
        <w:rPr>
          <w:sz w:val="24"/>
          <w:szCs w:val="24"/>
        </w:rPr>
        <w:t xml:space="preserve"> δεύτερη ενότητα «</w:t>
      </w:r>
      <w:r w:rsidRPr="00C234F2">
        <w:rPr>
          <w:sz w:val="24"/>
          <w:szCs w:val="24"/>
        </w:rPr>
        <w:t>Έσοδα &amp; κίνηση υπηρεσιών σταθερής</w:t>
      </w:r>
      <w:r w:rsidRPr="00D86EF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ο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αυτών των υπηρεσιών καλείται να κατανείμει ανά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δικτύου όλα τα έσοδα που κατέβαλλε καθώς και αυτά που προσπόρισε από την παροχή της υπηρεσίας.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51189" w:rsidRDefault="000744E1" w:rsidP="000744E1">
      <w:pPr>
        <w:pStyle w:val="2"/>
      </w:pPr>
      <w:bookmarkStart w:id="1" w:name="_Toc424813021"/>
      <w:bookmarkStart w:id="2" w:name="_Toc424907029"/>
      <w:r>
        <w:t>Υπόχρεοι προς συμπλήρωση:</w:t>
      </w:r>
      <w:bookmarkEnd w:id="1"/>
      <w:bookmarkEnd w:id="2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Όλοι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οι οποίοι: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συνολικό, ετήσιο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(β) δραστηριοποιούνται στην αγορά παροχής υπηρεσιών </w:t>
      </w:r>
      <w:proofErr w:type="spellStart"/>
      <w:r>
        <w:rPr>
          <w:sz w:val="24"/>
          <w:szCs w:val="24"/>
        </w:rPr>
        <w:t>πολυμεσικής</w:t>
      </w:r>
      <w:proofErr w:type="spellEnd"/>
      <w:r>
        <w:rPr>
          <w:sz w:val="24"/>
          <w:szCs w:val="24"/>
        </w:rPr>
        <w:t xml:space="preserve"> πληροφόρησης ή στην αγορά παροχής υπηρεσιών πληροφοριών καταλόγου.</w:t>
      </w:r>
    </w:p>
    <w:p w:rsidR="000744E1" w:rsidRDefault="005246F6" w:rsidP="000744E1">
      <w:pPr>
        <w:spacing w:after="120" w:line="264" w:lineRule="auto"/>
        <w:jc w:val="both"/>
        <w:rPr>
          <w:sz w:val="24"/>
          <w:szCs w:val="24"/>
        </w:rPr>
      </w:pPr>
      <w:r w:rsidRPr="005246F6">
        <w:rPr>
          <w:sz w:val="24"/>
          <w:szCs w:val="24"/>
          <w:u w:val="single"/>
        </w:rPr>
        <w:t>Προσοχή</w:t>
      </w:r>
      <w:r w:rsidR="00720EAE">
        <w:rPr>
          <w:sz w:val="24"/>
          <w:szCs w:val="24"/>
        </w:rPr>
        <w:t xml:space="preserve">: Επιχειρήσεις που δραστηριοποιούνται στην αγορά και ως </w:t>
      </w:r>
      <w:proofErr w:type="spellStart"/>
      <w:r w:rsidR="00720EAE">
        <w:rPr>
          <w:sz w:val="24"/>
          <w:szCs w:val="24"/>
        </w:rPr>
        <w:t>πάροχοι</w:t>
      </w:r>
      <w:proofErr w:type="spellEnd"/>
      <w:r w:rsidR="00720EAE">
        <w:rPr>
          <w:sz w:val="24"/>
          <w:szCs w:val="24"/>
        </w:rPr>
        <w:t xml:space="preserve"> υπηρεσιών δικτύου και ως </w:t>
      </w:r>
      <w:proofErr w:type="spellStart"/>
      <w:r w:rsidR="00720EAE">
        <w:rPr>
          <w:sz w:val="24"/>
          <w:szCs w:val="24"/>
        </w:rPr>
        <w:t>πάροχοι</w:t>
      </w:r>
      <w:proofErr w:type="spellEnd"/>
      <w:r w:rsidR="00720EAE">
        <w:rPr>
          <w:sz w:val="24"/>
          <w:szCs w:val="24"/>
        </w:rPr>
        <w:t xml:space="preserve"> υπηρεσιών </w:t>
      </w:r>
      <w:proofErr w:type="spellStart"/>
      <w:r w:rsidR="00720EAE">
        <w:rPr>
          <w:sz w:val="24"/>
          <w:szCs w:val="24"/>
        </w:rPr>
        <w:t>πολυμεσικής</w:t>
      </w:r>
      <w:proofErr w:type="spellEnd"/>
      <w:r w:rsidR="00720EAE">
        <w:rPr>
          <w:sz w:val="24"/>
          <w:szCs w:val="24"/>
        </w:rPr>
        <w:t xml:space="preserve"> πληροφόρησης ή πληροφοριών καταλόγου, θα πρέπει να απαντήσουν το ερωτηματολόγιο, επικεντρωνόμενοι μόνο στη δραστηριότητα τους ως </w:t>
      </w:r>
      <w:proofErr w:type="spellStart"/>
      <w:r w:rsidR="00720EAE">
        <w:rPr>
          <w:sz w:val="24"/>
          <w:szCs w:val="24"/>
        </w:rPr>
        <w:t>πάροχοι</w:t>
      </w:r>
      <w:proofErr w:type="spellEnd"/>
      <w:r w:rsidR="00720EAE">
        <w:rPr>
          <w:sz w:val="24"/>
          <w:szCs w:val="24"/>
        </w:rPr>
        <w:t xml:space="preserve"> υπηρεσιών </w:t>
      </w:r>
      <w:proofErr w:type="spellStart"/>
      <w:r w:rsidR="00720EAE">
        <w:rPr>
          <w:sz w:val="24"/>
          <w:szCs w:val="24"/>
        </w:rPr>
        <w:t>πολυμεσικής</w:t>
      </w:r>
      <w:proofErr w:type="spellEnd"/>
      <w:r w:rsidR="00720EAE">
        <w:rPr>
          <w:sz w:val="24"/>
          <w:szCs w:val="24"/>
        </w:rPr>
        <w:t xml:space="preserve"> πληροφόρησης ή πληροφοριών καταλόγου.</w:t>
      </w:r>
    </w:p>
    <w:p w:rsidR="00720EAE" w:rsidRPr="00720EAE" w:rsidRDefault="00720EAE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51189" w:rsidRDefault="000744E1" w:rsidP="000744E1">
      <w:pPr>
        <w:pStyle w:val="2"/>
      </w:pPr>
      <w:bookmarkStart w:id="3" w:name="_Toc424813022"/>
      <w:bookmarkStart w:id="4" w:name="_Toc424907030"/>
      <w:r>
        <w:t>Χρονοδιάγραμμα</w:t>
      </w:r>
      <w:bookmarkEnd w:id="3"/>
      <w:bookmarkEnd w:id="4"/>
    </w:p>
    <w:p w:rsidR="00464FBC" w:rsidRDefault="00464FBC" w:rsidP="00464FBC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Υποβάλλεται μία φορά το χρόνο</w:t>
      </w:r>
      <w:r w:rsidR="002B08DB">
        <w:rPr>
          <w:sz w:val="24"/>
          <w:szCs w:val="24"/>
        </w:rPr>
        <w:t xml:space="preserve"> (</w:t>
      </w:r>
      <w:r w:rsidR="002B08DB">
        <w:rPr>
          <w:b/>
          <w:sz w:val="24"/>
          <w:szCs w:val="24"/>
        </w:rPr>
        <w:t>καταληκτική προθεσμία η τελευταία εργάσιμη του μήνα</w:t>
      </w:r>
      <w:r w:rsidR="002B08DB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464FBC" w:rsidTr="009B6F98">
        <w:tc>
          <w:tcPr>
            <w:tcW w:w="2552" w:type="dxa"/>
          </w:tcPr>
          <w:p w:rsidR="00464FBC" w:rsidRDefault="002B08DB" w:rsidP="009B6F98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Μάρτιος</w:t>
            </w:r>
            <w:r w:rsidR="00464FBC" w:rsidRPr="00451189">
              <w:rPr>
                <w:sz w:val="24"/>
                <w:szCs w:val="24"/>
              </w:rPr>
              <w:t xml:space="preserve"> </w:t>
            </w:r>
            <w:r w:rsidR="00464FBC">
              <w:rPr>
                <w:sz w:val="24"/>
                <w:szCs w:val="24"/>
              </w:rPr>
              <w:br/>
            </w:r>
            <w:r w:rsidR="00464FBC" w:rsidRPr="00451189">
              <w:rPr>
                <w:sz w:val="24"/>
                <w:szCs w:val="24"/>
              </w:rPr>
              <w:t>(επομένου έτους):</w:t>
            </w:r>
          </w:p>
        </w:tc>
        <w:tc>
          <w:tcPr>
            <w:tcW w:w="6521" w:type="dxa"/>
          </w:tcPr>
          <w:p w:rsidR="00464FBC" w:rsidRPr="00451189" w:rsidRDefault="00464FBC" w:rsidP="009B6F98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</w:t>
            </w:r>
            <w:r>
              <w:rPr>
                <w:sz w:val="24"/>
                <w:szCs w:val="24"/>
              </w:rPr>
              <w:t>έτος</w:t>
            </w:r>
            <w:r w:rsidRPr="00451189">
              <w:rPr>
                <w:sz w:val="24"/>
                <w:szCs w:val="24"/>
              </w:rPr>
              <w:t>.</w:t>
            </w:r>
          </w:p>
          <w:p w:rsidR="00464FBC" w:rsidRPr="00B30023" w:rsidRDefault="00464FBC" w:rsidP="009B6F98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Συμπληρώνεται πλήρως το ερωτηματολόγιο με στοιχεία για το σύνολο του έτους.</w:t>
            </w:r>
          </w:p>
        </w:tc>
      </w:tr>
    </w:tbl>
    <w:p w:rsidR="00464FBC" w:rsidRDefault="00464FBC" w:rsidP="00464FBC">
      <w:pPr>
        <w:spacing w:after="120" w:line="264" w:lineRule="auto"/>
        <w:jc w:val="both"/>
        <w:rPr>
          <w:sz w:val="24"/>
          <w:szCs w:val="24"/>
        </w:rPr>
      </w:pPr>
    </w:p>
    <w:p w:rsidR="000744E1" w:rsidRPr="004478C9" w:rsidRDefault="000744E1" w:rsidP="000744E1">
      <w:pPr>
        <w:pStyle w:val="1"/>
      </w:pPr>
      <w:bookmarkStart w:id="5" w:name="_Toc424657888"/>
      <w:bookmarkStart w:id="6" w:name="_Toc424907031"/>
      <w:r w:rsidRPr="004478C9">
        <w:t>Ορισμοί και διευκρινίσεις</w:t>
      </w:r>
      <w:bookmarkEnd w:id="5"/>
      <w:bookmarkEnd w:id="6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Όλες οι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καταγράφονται με το ενδεικτικό πρόθεμα τους.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κίνηση που καταγράφεται αφορά στην </w:t>
      </w:r>
      <w:proofErr w:type="spellStart"/>
      <w:r>
        <w:rPr>
          <w:sz w:val="24"/>
          <w:szCs w:val="24"/>
        </w:rPr>
        <w:t>τιμολογηθείσα</w:t>
      </w:r>
      <w:proofErr w:type="spellEnd"/>
      <w:r>
        <w:rPr>
          <w:sz w:val="24"/>
          <w:szCs w:val="24"/>
        </w:rPr>
        <w:t>. Μπορεί να εκφράζεται σε λεπτά ομιλίας, σε κλήσεις ή και σε μηνύματα, ανάλογα με τον τρόπο τιμολόγησης.</w:t>
      </w:r>
    </w:p>
    <w:p w:rsidR="000744E1" w:rsidRPr="00E40953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478C9" w:rsidRDefault="000744E1" w:rsidP="000744E1">
      <w:pPr>
        <w:pStyle w:val="1"/>
      </w:pPr>
      <w:bookmarkStart w:id="7" w:name="_Toc424657889"/>
      <w:bookmarkStart w:id="8" w:name="_Toc424907032"/>
      <w:r w:rsidRPr="004478C9">
        <w:t>Οδηγίες συμπλήρωσης</w:t>
      </w:r>
      <w:bookmarkEnd w:id="7"/>
      <w:bookmarkEnd w:id="8"/>
      <w:r w:rsidRPr="004478C9">
        <w:t xml:space="preserve"> 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Στην πρώτη ενότητα κάθε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καταγράφει την </w:t>
      </w:r>
      <w:proofErr w:type="spellStart"/>
      <w:r>
        <w:rPr>
          <w:sz w:val="24"/>
          <w:szCs w:val="24"/>
        </w:rPr>
        <w:t>τιμολογηθείσα</w:t>
      </w:r>
      <w:proofErr w:type="spellEnd"/>
      <w:r>
        <w:rPr>
          <w:sz w:val="24"/>
          <w:szCs w:val="24"/>
        </w:rPr>
        <w:t xml:space="preserve"> κίνηση (όγκος πωλήσεων) σε λεπτά ομιλίας, μηνύματα ή κλήσεις ανάλογα με την υπηρεσία αναφοράς. Επίσης καταγράφει το έσοδο που συγκέντρωσε ο ίδιος και ο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δικτύου σε ευρώ. 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Εφόσον κάποια </w:t>
      </w:r>
      <w:proofErr w:type="spellStart"/>
      <w:r>
        <w:rPr>
          <w:sz w:val="24"/>
          <w:szCs w:val="24"/>
        </w:rPr>
        <w:t>αριθμοσειρά</w:t>
      </w:r>
      <w:proofErr w:type="spellEnd"/>
      <w:r>
        <w:rPr>
          <w:sz w:val="24"/>
          <w:szCs w:val="24"/>
        </w:rPr>
        <w:t xml:space="preserve"> που αφορά υπηρεσία </w:t>
      </w:r>
      <w:proofErr w:type="spellStart"/>
      <w:r>
        <w:rPr>
          <w:sz w:val="24"/>
          <w:szCs w:val="24"/>
        </w:rPr>
        <w:t>πολυμεσικής</w:t>
      </w:r>
      <w:proofErr w:type="spellEnd"/>
      <w:r>
        <w:rPr>
          <w:sz w:val="24"/>
          <w:szCs w:val="24"/>
        </w:rPr>
        <w:t xml:space="preserve"> πληροφόρησης ή καταλόγου δεν αναφέρεται με το πρόθεμα της στις πρώτες πέντε κατηγορίες, τότε τα σχετικά μεγέθη για αυτήν την υπηρεσία πρέπει να συμπληρωθούν στην έκτη κατηγορία (Λοιπές Υπηρεσίες). Η ενέργεια αυτή πρέπει να υλοποιηθεί για κάθε τέτοια υπηρεσία.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Στη δεύτερη ενότητα το ενδιαφέρον εστιάζεται αποκλειστικά στα έσοδα των υπηρεσιών και πως κατανέμονται μεταξύ κάθε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υπηρεσίας και δικτύου. </w:t>
      </w:r>
    </w:p>
    <w:p w:rsidR="006B46B9" w:rsidRDefault="006B46B9" w:rsidP="006B46B9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Τα έσοδα που καταγράφονται (όπου ζητούνται, και στις δύο ενότητες) αφορούν στη σχέση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δικτύου και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υπηρεσίας. Δεν ζητούνται λιανικά έσοδα, δεδομένου ότι αυτά καταγράφονται ήδη στα ερωτηματολόγια σταθερών ή κινητών δικτύων.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Όλα τα μεγέθη εσόδων καταγράφονται σε Ευρώ.</w:t>
      </w:r>
    </w:p>
    <w:p w:rsidR="006B46B9" w:rsidRPr="004478C9" w:rsidRDefault="006B46B9" w:rsidP="006B46B9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Όλα τα ζητούμενα στοιχεία (κίνηση, έσοδα) είναι ανεξάρτητα του τύπου δικτύου (σταθερής ή κινητής).</w:t>
      </w:r>
    </w:p>
    <w:p w:rsidR="00A70AB0" w:rsidRDefault="00A70AB0" w:rsidP="000744E1">
      <w:pPr>
        <w:spacing w:after="120" w:line="264" w:lineRule="auto"/>
        <w:jc w:val="both"/>
        <w:rPr>
          <w:sz w:val="24"/>
          <w:szCs w:val="24"/>
        </w:rPr>
      </w:pPr>
    </w:p>
    <w:sectPr w:rsidR="00A70AB0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AF0" w:rsidRDefault="00FE6AF0" w:rsidP="00D1754D">
      <w:pPr>
        <w:spacing w:after="0" w:line="240" w:lineRule="auto"/>
      </w:pPr>
      <w:r>
        <w:separator/>
      </w:r>
    </w:p>
  </w:endnote>
  <w:endnote w:type="continuationSeparator" w:id="0">
    <w:p w:rsidR="00FE6AF0" w:rsidRDefault="00FE6AF0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5246F6">
        <w:pPr>
          <w:pStyle w:val="aa"/>
          <w:jc w:val="right"/>
        </w:pPr>
        <w:fldSimple w:instr=" PAGE   \* MERGEFORMAT ">
          <w:r w:rsidR="00EC46FC">
            <w:rPr>
              <w:noProof/>
            </w:rPr>
            <w:t>2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AF0" w:rsidRDefault="00FE6AF0" w:rsidP="00D1754D">
      <w:pPr>
        <w:spacing w:after="0" w:line="240" w:lineRule="auto"/>
      </w:pPr>
      <w:r>
        <w:separator/>
      </w:r>
    </w:p>
  </w:footnote>
  <w:footnote w:type="continuationSeparator" w:id="0">
    <w:p w:rsidR="00FE6AF0" w:rsidRDefault="00FE6AF0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9"/>
  </w:num>
  <w:num w:numId="4">
    <w:abstractNumId w:val="17"/>
  </w:num>
  <w:num w:numId="5">
    <w:abstractNumId w:val="24"/>
  </w:num>
  <w:num w:numId="6">
    <w:abstractNumId w:val="7"/>
  </w:num>
  <w:num w:numId="7">
    <w:abstractNumId w:val="5"/>
  </w:num>
  <w:num w:numId="8">
    <w:abstractNumId w:val="14"/>
  </w:num>
  <w:num w:numId="9">
    <w:abstractNumId w:val="31"/>
  </w:num>
  <w:num w:numId="10">
    <w:abstractNumId w:val="26"/>
  </w:num>
  <w:num w:numId="11">
    <w:abstractNumId w:val="11"/>
  </w:num>
  <w:num w:numId="12">
    <w:abstractNumId w:val="18"/>
  </w:num>
  <w:num w:numId="13">
    <w:abstractNumId w:val="12"/>
  </w:num>
  <w:num w:numId="14">
    <w:abstractNumId w:val="22"/>
  </w:num>
  <w:num w:numId="15">
    <w:abstractNumId w:val="3"/>
  </w:num>
  <w:num w:numId="16">
    <w:abstractNumId w:val="28"/>
  </w:num>
  <w:num w:numId="17">
    <w:abstractNumId w:val="21"/>
  </w:num>
  <w:num w:numId="18">
    <w:abstractNumId w:val="19"/>
  </w:num>
  <w:num w:numId="19">
    <w:abstractNumId w:val="9"/>
  </w:num>
  <w:num w:numId="20">
    <w:abstractNumId w:val="23"/>
  </w:num>
  <w:num w:numId="21">
    <w:abstractNumId w:val="20"/>
  </w:num>
  <w:num w:numId="22">
    <w:abstractNumId w:val="8"/>
  </w:num>
  <w:num w:numId="23">
    <w:abstractNumId w:val="6"/>
  </w:num>
  <w:num w:numId="24">
    <w:abstractNumId w:val="4"/>
  </w:num>
  <w:num w:numId="25">
    <w:abstractNumId w:val="2"/>
  </w:num>
  <w:num w:numId="26">
    <w:abstractNumId w:val="16"/>
  </w:num>
  <w:num w:numId="27">
    <w:abstractNumId w:val="10"/>
  </w:num>
  <w:num w:numId="28">
    <w:abstractNumId w:val="13"/>
  </w:num>
  <w:num w:numId="29">
    <w:abstractNumId w:val="1"/>
  </w:num>
  <w:num w:numId="30">
    <w:abstractNumId w:val="15"/>
  </w:num>
  <w:num w:numId="31">
    <w:abstractNumId w:val="0"/>
  </w:num>
  <w:num w:numId="32">
    <w:abstractNumId w:val="2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3190D"/>
    <w:rsid w:val="0004078B"/>
    <w:rsid w:val="000422E1"/>
    <w:rsid w:val="0004744C"/>
    <w:rsid w:val="000635D5"/>
    <w:rsid w:val="0006562E"/>
    <w:rsid w:val="000744E1"/>
    <w:rsid w:val="0007545E"/>
    <w:rsid w:val="00082D68"/>
    <w:rsid w:val="00097105"/>
    <w:rsid w:val="000A4BEF"/>
    <w:rsid w:val="000A7C2F"/>
    <w:rsid w:val="000C1F69"/>
    <w:rsid w:val="000D17F6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196E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3F3"/>
    <w:rsid w:val="0028187D"/>
    <w:rsid w:val="002A0037"/>
    <w:rsid w:val="002A45BF"/>
    <w:rsid w:val="002A4639"/>
    <w:rsid w:val="002A5E61"/>
    <w:rsid w:val="002B08DB"/>
    <w:rsid w:val="002B5AEE"/>
    <w:rsid w:val="002B62F3"/>
    <w:rsid w:val="002C06FF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E7B02"/>
    <w:rsid w:val="00412863"/>
    <w:rsid w:val="0041753F"/>
    <w:rsid w:val="004365D3"/>
    <w:rsid w:val="004478C9"/>
    <w:rsid w:val="00451189"/>
    <w:rsid w:val="0045334C"/>
    <w:rsid w:val="00464FBC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46F6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2DD8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46B9"/>
    <w:rsid w:val="006B6D29"/>
    <w:rsid w:val="006C16B8"/>
    <w:rsid w:val="006D0065"/>
    <w:rsid w:val="006D5EC7"/>
    <w:rsid w:val="006E12D1"/>
    <w:rsid w:val="00710585"/>
    <w:rsid w:val="0071084C"/>
    <w:rsid w:val="007122F2"/>
    <w:rsid w:val="00720EAE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F2168"/>
    <w:rsid w:val="008F5CF6"/>
    <w:rsid w:val="00914D63"/>
    <w:rsid w:val="00936DB1"/>
    <w:rsid w:val="00940D1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0023"/>
    <w:rsid w:val="00B319E6"/>
    <w:rsid w:val="00B37457"/>
    <w:rsid w:val="00B452BF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85E3B"/>
    <w:rsid w:val="00C867EC"/>
    <w:rsid w:val="00C944CE"/>
    <w:rsid w:val="00CA394B"/>
    <w:rsid w:val="00CA4694"/>
    <w:rsid w:val="00CC5CD0"/>
    <w:rsid w:val="00CD2D48"/>
    <w:rsid w:val="00CE0256"/>
    <w:rsid w:val="00CE3023"/>
    <w:rsid w:val="00CE35DF"/>
    <w:rsid w:val="00CF4AFD"/>
    <w:rsid w:val="00D041D4"/>
    <w:rsid w:val="00D06830"/>
    <w:rsid w:val="00D11802"/>
    <w:rsid w:val="00D14439"/>
    <w:rsid w:val="00D1754D"/>
    <w:rsid w:val="00D31999"/>
    <w:rsid w:val="00D615F8"/>
    <w:rsid w:val="00D61838"/>
    <w:rsid w:val="00D70647"/>
    <w:rsid w:val="00D71154"/>
    <w:rsid w:val="00D77359"/>
    <w:rsid w:val="00D7782E"/>
    <w:rsid w:val="00D92F45"/>
    <w:rsid w:val="00D955E1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C46FC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  <w:rsid w:val="00FE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CDEC2-1B18-4A82-AC5A-66FF2F8E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563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4</cp:revision>
  <dcterms:created xsi:type="dcterms:W3CDTF">2015-09-14T13:01:00Z</dcterms:created>
  <dcterms:modified xsi:type="dcterms:W3CDTF">2015-09-28T07:00:00Z</dcterms:modified>
</cp:coreProperties>
</file>