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5F07" w:rsidRPr="00DE6217" w:rsidRDefault="00DE6217">
      <w:pPr>
        <w:pStyle w:val="1"/>
        <w:spacing w:before="0" w:after="241"/>
        <w:rPr>
          <w:lang w:val="en-US"/>
        </w:rPr>
      </w:pPr>
      <w:r w:rsidRPr="00DE6217">
        <w:rPr>
          <w:rFonts w:ascii="Verdana" w:eastAsia="Verdana" w:hAnsi="Verdana" w:cs="Verdana"/>
          <w:sz w:val="36"/>
          <w:szCs w:val="36"/>
          <w:lang w:val="en-US"/>
        </w:rPr>
        <w:t xml:space="preserve">Use and future plans for frequency bands in relation to studies in CEPT on WRC-19 Agenda item 1.13 </w:t>
      </w:r>
    </w:p>
    <w:p w:rsidR="00205F07" w:rsidRPr="00DE6217" w:rsidRDefault="00DE6217">
      <w:pPr>
        <w:rPr>
          <w:lang w:val="en-US"/>
        </w:rPr>
      </w:pPr>
      <w:r w:rsidRPr="00DE6217">
        <w:rPr>
          <w:rFonts w:ascii="Verdana" w:eastAsia="Verdana" w:hAnsi="Verdana" w:cs="Verdana"/>
          <w:b/>
          <w:bCs/>
          <w:sz w:val="18"/>
          <w:szCs w:val="18"/>
          <w:lang w:val="en-US"/>
        </w:rPr>
        <w:t xml:space="preserve">Group: </w:t>
      </w:r>
      <w:r w:rsidRPr="00DE6217">
        <w:rPr>
          <w:rFonts w:ascii="Verdana" w:eastAsia="Verdana" w:hAnsi="Verdana" w:cs="Verdana"/>
          <w:sz w:val="18"/>
          <w:szCs w:val="18"/>
          <w:lang w:val="en-US"/>
        </w:rPr>
        <w:t xml:space="preserve">ECC PT1 </w:t>
      </w:r>
      <w:r w:rsidRPr="00DE6217">
        <w:rPr>
          <w:lang w:val="en-US"/>
        </w:rPr>
        <w:br/>
      </w:r>
      <w:r w:rsidRPr="00DE6217">
        <w:rPr>
          <w:rFonts w:ascii="Verdana" w:eastAsia="Verdana" w:hAnsi="Verdana" w:cs="Verdana"/>
          <w:b/>
          <w:bCs/>
          <w:sz w:val="18"/>
          <w:szCs w:val="18"/>
          <w:lang w:val="en-US"/>
        </w:rPr>
        <w:t xml:space="preserve">Submission dates: </w:t>
      </w:r>
      <w:r w:rsidRPr="00DE6217">
        <w:rPr>
          <w:rFonts w:ascii="Verdana" w:eastAsia="Verdana" w:hAnsi="Verdana" w:cs="Verdana"/>
          <w:sz w:val="18"/>
          <w:szCs w:val="18"/>
          <w:lang w:val="en-US"/>
        </w:rPr>
        <w:t xml:space="preserve">11-05-2016 - 24-06-2016 </w:t>
      </w:r>
      <w:r w:rsidRPr="00DE6217">
        <w:rPr>
          <w:lang w:val="en-US"/>
        </w:rPr>
        <w:br/>
      </w:r>
      <w:r w:rsidRPr="00DE6217">
        <w:rPr>
          <w:rFonts w:ascii="Verdana" w:eastAsia="Verdana" w:hAnsi="Verdana" w:cs="Verdana"/>
          <w:b/>
          <w:bCs/>
          <w:sz w:val="18"/>
          <w:szCs w:val="18"/>
          <w:lang w:val="en-US"/>
        </w:rPr>
        <w:t xml:space="preserve">Introduction: </w:t>
      </w:r>
    </w:p>
    <w:p w:rsidR="00205F07" w:rsidRPr="00DE6217" w:rsidRDefault="00DE6217">
      <w:pPr>
        <w:spacing w:before="180" w:after="180"/>
        <w:rPr>
          <w:lang w:val="en-US"/>
        </w:rPr>
      </w:pPr>
      <w:r w:rsidRPr="00DE6217">
        <w:rPr>
          <w:rFonts w:ascii="Verdana" w:eastAsia="Verdana" w:hAnsi="Verdana" w:cs="Verdana"/>
          <w:sz w:val="18"/>
          <w:szCs w:val="18"/>
          <w:lang w:val="en-US"/>
        </w:rPr>
        <w:t xml:space="preserve">The purpose of this questionnaire is to gather the views of CEPT administrations </w:t>
      </w:r>
      <w:r w:rsidRPr="00DE6217">
        <w:rPr>
          <w:rFonts w:ascii="Verdana" w:eastAsia="Verdana" w:hAnsi="Verdana" w:cs="Verdana"/>
          <w:sz w:val="18"/>
          <w:szCs w:val="18"/>
          <w:lang w:val="en-US"/>
        </w:rPr>
        <w:t>and industry on the frequency bands under study for WRC-19 agenda item 1.13 on International Mobile Telecommunications.</w:t>
      </w:r>
    </w:p>
    <w:p w:rsidR="00205F07" w:rsidRPr="00DE6217" w:rsidRDefault="00DE6217">
      <w:pPr>
        <w:spacing w:before="180" w:after="180"/>
        <w:rPr>
          <w:lang w:val="en-US"/>
        </w:rPr>
      </w:pPr>
      <w:r w:rsidRPr="00DE6217">
        <w:rPr>
          <w:rFonts w:ascii="Verdana" w:eastAsia="Verdana" w:hAnsi="Verdana" w:cs="Verdana"/>
          <w:sz w:val="18"/>
          <w:szCs w:val="18"/>
          <w:lang w:val="en-US"/>
        </w:rPr>
        <w:t>CEPT will need to decide on which bands to focus on in the preparations for WRC-19 Agenda item 1.13 and which studies need to be carried</w:t>
      </w:r>
      <w:r w:rsidRPr="00DE6217">
        <w:rPr>
          <w:rFonts w:ascii="Verdana" w:eastAsia="Verdana" w:hAnsi="Verdana" w:cs="Verdana"/>
          <w:sz w:val="18"/>
          <w:szCs w:val="18"/>
          <w:lang w:val="en-US"/>
        </w:rPr>
        <w:t xml:space="preserve"> out.</w:t>
      </w:r>
    </w:p>
    <w:p w:rsidR="00205F07" w:rsidRPr="00DE6217" w:rsidRDefault="00DE6217">
      <w:pPr>
        <w:spacing w:before="180" w:after="180"/>
        <w:rPr>
          <w:lang w:val="en-US"/>
        </w:rPr>
      </w:pPr>
      <w:r w:rsidRPr="00DE6217">
        <w:rPr>
          <w:rFonts w:ascii="Verdana" w:eastAsia="Verdana" w:hAnsi="Verdana" w:cs="Verdana"/>
          <w:sz w:val="18"/>
          <w:szCs w:val="18"/>
          <w:lang w:val="en-US"/>
        </w:rPr>
        <w:t>WRC-19 Agenda item 1.13 is:</w:t>
      </w:r>
    </w:p>
    <w:p w:rsidR="00205F07" w:rsidRPr="00DE6217" w:rsidRDefault="00DE6217">
      <w:pPr>
        <w:spacing w:before="180" w:after="180"/>
        <w:ind w:left="600" w:right="600"/>
        <w:rPr>
          <w:lang w:val="en-US"/>
        </w:rPr>
      </w:pPr>
      <w:r w:rsidRPr="00DE6217">
        <w:rPr>
          <w:rFonts w:ascii="Verdana" w:eastAsia="Verdana" w:hAnsi="Verdana" w:cs="Verdana"/>
          <w:sz w:val="18"/>
          <w:szCs w:val="18"/>
          <w:lang w:val="en-US"/>
        </w:rPr>
        <w:t>"</w:t>
      </w:r>
      <w:proofErr w:type="gramStart"/>
      <w:r w:rsidRPr="00DE6217">
        <w:rPr>
          <w:rFonts w:ascii="Verdana" w:eastAsia="Verdana" w:hAnsi="Verdana" w:cs="Verdana"/>
          <w:sz w:val="18"/>
          <w:szCs w:val="18"/>
          <w:lang w:val="en-US"/>
        </w:rPr>
        <w:t>to</w:t>
      </w:r>
      <w:proofErr w:type="gramEnd"/>
      <w:r w:rsidRPr="00DE6217">
        <w:rPr>
          <w:rFonts w:ascii="Verdana" w:eastAsia="Verdana" w:hAnsi="Verdana" w:cs="Verdana"/>
          <w:sz w:val="18"/>
          <w:szCs w:val="18"/>
          <w:lang w:val="en-US"/>
        </w:rPr>
        <w:t xml:space="preserve"> consider identification of frequency bands for the future development of International Mobile Telecommunications (IMT), including possible additional allocations to the mobile service on a primary basis, in accordance </w:t>
      </w:r>
      <w:r w:rsidRPr="00DE6217">
        <w:rPr>
          <w:rFonts w:ascii="Verdana" w:eastAsia="Verdana" w:hAnsi="Verdana" w:cs="Verdana"/>
          <w:sz w:val="18"/>
          <w:szCs w:val="18"/>
          <w:lang w:val="en-US"/>
        </w:rPr>
        <w:t>with Resolution 238 (WRC‑15)"</w:t>
      </w:r>
    </w:p>
    <w:p w:rsidR="00205F07" w:rsidRPr="00DE6217" w:rsidRDefault="00DE6217">
      <w:pPr>
        <w:spacing w:before="180" w:after="180"/>
        <w:rPr>
          <w:lang w:val="en-US"/>
        </w:rPr>
      </w:pPr>
      <w:r w:rsidRPr="00DE6217">
        <w:rPr>
          <w:rFonts w:ascii="Verdana" w:eastAsia="Verdana" w:hAnsi="Verdana" w:cs="Verdana"/>
          <w:sz w:val="18"/>
          <w:szCs w:val="18"/>
          <w:lang w:val="en-US"/>
        </w:rPr>
        <w:t>In Resolution 238 (WRC-15), ITU-R resolved to conduct the appropriate studies on the spectrum needs for the terrestrial component of IMT in the frequency range between 24.25 GHz and 86 GHz, and to conduct the appropriate shari</w:t>
      </w:r>
      <w:r w:rsidRPr="00DE6217">
        <w:rPr>
          <w:rFonts w:ascii="Verdana" w:eastAsia="Verdana" w:hAnsi="Verdana" w:cs="Verdana"/>
          <w:sz w:val="18"/>
          <w:szCs w:val="18"/>
          <w:lang w:val="en-US"/>
        </w:rPr>
        <w:t xml:space="preserve">ng and compatibility </w:t>
      </w:r>
      <w:proofErr w:type="gramStart"/>
      <w:r w:rsidRPr="00DE6217">
        <w:rPr>
          <w:rFonts w:ascii="Verdana" w:eastAsia="Verdana" w:hAnsi="Verdana" w:cs="Verdana"/>
          <w:sz w:val="18"/>
          <w:szCs w:val="18"/>
          <w:lang w:val="en-US"/>
        </w:rPr>
        <w:t>studies</w:t>
      </w:r>
      <w:proofErr w:type="gramEnd"/>
      <w:r w:rsidR="00205F07">
        <w:rPr>
          <w:rFonts w:ascii="Verdana" w:eastAsia="Verdana" w:hAnsi="Verdana" w:cs="Verdana"/>
          <w:sz w:val="18"/>
          <w:szCs w:val="18"/>
        </w:rPr>
        <w:fldChar w:fldCharType="begin"/>
      </w:r>
      <w:r w:rsidRPr="00DE6217">
        <w:rPr>
          <w:rFonts w:ascii="Verdana" w:eastAsia="Verdana" w:hAnsi="Verdana" w:cs="Verdana"/>
          <w:sz w:val="18"/>
          <w:szCs w:val="18"/>
          <w:lang w:val="en-US"/>
        </w:rPr>
        <w:instrText xml:space="preserve"> HYPERLINK \l "_ftn1" </w:instrText>
      </w:r>
      <w:r w:rsidR="00205F07">
        <w:rPr>
          <w:rFonts w:ascii="Verdana" w:eastAsia="Verdana" w:hAnsi="Verdana" w:cs="Verdana"/>
          <w:sz w:val="18"/>
          <w:szCs w:val="18"/>
        </w:rPr>
        <w:fldChar w:fldCharType="separate"/>
      </w:r>
      <w:bookmarkStart w:id="0" w:name="_ftnref1"/>
      <w:r w:rsidRPr="00DE6217">
        <w:rPr>
          <w:rFonts w:ascii="Verdana" w:eastAsia="Verdana" w:hAnsi="Verdana" w:cs="Verdana"/>
          <w:color w:val="0000EE"/>
          <w:sz w:val="19"/>
          <w:szCs w:val="19"/>
          <w:u w:val="single"/>
          <w:vertAlign w:val="superscript"/>
          <w:lang w:val="en-US"/>
        </w:rPr>
        <w:t>[1]</w:t>
      </w:r>
      <w:r w:rsidR="00205F07">
        <w:rPr>
          <w:rFonts w:ascii="Verdana" w:eastAsia="Verdana" w:hAnsi="Verdana" w:cs="Verdana"/>
          <w:sz w:val="18"/>
          <w:szCs w:val="18"/>
        </w:rPr>
        <w:fldChar w:fldCharType="end"/>
      </w:r>
      <w:bookmarkEnd w:id="0"/>
      <w:r w:rsidRPr="00DE6217">
        <w:rPr>
          <w:rFonts w:ascii="Verdana" w:eastAsia="Verdana" w:hAnsi="Verdana" w:cs="Verdana"/>
          <w:sz w:val="18"/>
          <w:szCs w:val="18"/>
          <w:lang w:val="en-US"/>
        </w:rPr>
        <w:t>, taking into account the protection of services to which the band is allocated on a primary basis, for the frequency bands:</w:t>
      </w:r>
    </w:p>
    <w:p w:rsidR="00205F07" w:rsidRPr="00DE6217" w:rsidRDefault="00DE6217">
      <w:pPr>
        <w:numPr>
          <w:ilvl w:val="0"/>
          <w:numId w:val="1"/>
        </w:numPr>
        <w:spacing w:before="180" w:after="180"/>
        <w:rPr>
          <w:lang w:val="en-US"/>
        </w:rPr>
      </w:pPr>
      <w:r w:rsidRPr="00DE6217">
        <w:rPr>
          <w:rFonts w:ascii="Verdana" w:eastAsia="Verdana" w:hAnsi="Verdana" w:cs="Verdana"/>
          <w:sz w:val="18"/>
          <w:szCs w:val="18"/>
          <w:lang w:val="en-US"/>
        </w:rPr>
        <w:t>24.25-27.5 GHz</w:t>
      </w:r>
      <w:hyperlink w:anchor="_ftn2" w:history="1">
        <w:bookmarkStart w:id="1" w:name="_ftnref2"/>
        <w:r w:rsidRPr="00DE6217">
          <w:rPr>
            <w:rFonts w:ascii="Verdana" w:eastAsia="Verdana" w:hAnsi="Verdana" w:cs="Verdana"/>
            <w:color w:val="0000EE"/>
            <w:sz w:val="19"/>
            <w:szCs w:val="19"/>
            <w:u w:val="single"/>
            <w:vertAlign w:val="superscript"/>
            <w:lang w:val="en-US"/>
          </w:rPr>
          <w:t>[2]</w:t>
        </w:r>
      </w:hyperlink>
      <w:bookmarkEnd w:id="1"/>
      <w:r w:rsidRPr="00DE6217">
        <w:rPr>
          <w:rFonts w:ascii="Verdana" w:eastAsia="Verdana" w:hAnsi="Verdana" w:cs="Verdana"/>
          <w:sz w:val="18"/>
          <w:szCs w:val="18"/>
          <w:lang w:val="en-US"/>
        </w:rPr>
        <w:t>, 37-40.5 GHz, 42.5-43.5 GHz, 45.</w:t>
      </w:r>
      <w:r w:rsidRPr="00DE6217">
        <w:rPr>
          <w:rFonts w:ascii="Verdana" w:eastAsia="Verdana" w:hAnsi="Verdana" w:cs="Verdana"/>
          <w:sz w:val="18"/>
          <w:szCs w:val="18"/>
          <w:lang w:val="en-US"/>
        </w:rPr>
        <w:t>5-47 GHz, 47.2-50.2 GHz, 50.4-52.6 GHz, 66-76 GHz and 81-86 GHz, which have allocations to the mobile service on a primary basis; and</w:t>
      </w:r>
    </w:p>
    <w:p w:rsidR="00205F07" w:rsidRPr="00DE6217" w:rsidRDefault="00DE6217">
      <w:pPr>
        <w:numPr>
          <w:ilvl w:val="0"/>
          <w:numId w:val="2"/>
        </w:numPr>
        <w:spacing w:before="180" w:after="180"/>
        <w:rPr>
          <w:lang w:val="en-US"/>
        </w:rPr>
      </w:pPr>
      <w:r w:rsidRPr="00DE6217">
        <w:rPr>
          <w:rFonts w:ascii="Verdana" w:eastAsia="Verdana" w:hAnsi="Verdana" w:cs="Verdana"/>
          <w:sz w:val="18"/>
          <w:szCs w:val="18"/>
          <w:lang w:val="en-US"/>
        </w:rPr>
        <w:t xml:space="preserve">31.8-33.4 GHz, 40.5-42.5 GHz and 47-47.2 GHz, which may require additional allocations to the mobile service on a primary </w:t>
      </w:r>
      <w:r w:rsidRPr="00DE6217">
        <w:rPr>
          <w:rFonts w:ascii="Verdana" w:eastAsia="Verdana" w:hAnsi="Verdana" w:cs="Verdana"/>
          <w:sz w:val="18"/>
          <w:szCs w:val="18"/>
          <w:lang w:val="en-US"/>
        </w:rPr>
        <w:t>basis.</w:t>
      </w:r>
    </w:p>
    <w:p w:rsidR="00205F07" w:rsidRPr="00DE6217" w:rsidRDefault="00DE6217">
      <w:pPr>
        <w:spacing w:before="180" w:after="180"/>
        <w:rPr>
          <w:lang w:val="en-US"/>
        </w:rPr>
      </w:pPr>
      <w:r w:rsidRPr="00DE6217">
        <w:rPr>
          <w:rFonts w:ascii="Verdana" w:eastAsia="Verdana" w:hAnsi="Verdana" w:cs="Verdana"/>
          <w:sz w:val="18"/>
          <w:szCs w:val="18"/>
          <w:lang w:val="en-US"/>
        </w:rPr>
        <w:t> </w:t>
      </w:r>
    </w:p>
    <w:p w:rsidR="00205F07" w:rsidRDefault="00205F07">
      <w:r>
        <w:pict>
          <v:rect id="_x0000_i1025" style="width:142.55pt;height:.75pt" o:hrpct="330" o:hrstd="t" o:hr="t" fillcolor="gray" stroked="f">
            <v:path strokeok="f"/>
          </v:rect>
        </w:pict>
      </w:r>
    </w:p>
    <w:p w:rsidR="00205F07" w:rsidRPr="00DE6217" w:rsidRDefault="00205F07">
      <w:pPr>
        <w:spacing w:before="180" w:after="180"/>
        <w:rPr>
          <w:lang w:val="en-US"/>
        </w:rPr>
      </w:pPr>
      <w:hyperlink w:anchor="_ftnref1" w:history="1">
        <w:bookmarkStart w:id="2" w:name="_ftn1"/>
        <w:r w:rsidR="00DE6217" w:rsidRPr="00DE6217">
          <w:rPr>
            <w:rFonts w:ascii="Verdana" w:eastAsia="Verdana" w:hAnsi="Verdana" w:cs="Verdana"/>
            <w:color w:val="0000EE"/>
            <w:sz w:val="18"/>
            <w:szCs w:val="18"/>
            <w:u w:val="single"/>
            <w:lang w:val="en-US"/>
          </w:rPr>
          <w:t>[1]</w:t>
        </w:r>
      </w:hyperlink>
      <w:bookmarkEnd w:id="2"/>
      <w:r w:rsidR="00DE6217" w:rsidRPr="00DE6217">
        <w:rPr>
          <w:rFonts w:ascii="Verdana" w:eastAsia="Verdana" w:hAnsi="Verdana" w:cs="Verdana"/>
          <w:sz w:val="18"/>
          <w:szCs w:val="18"/>
          <w:lang w:val="en-US"/>
        </w:rPr>
        <w:t xml:space="preserve"> Including studies with respect to services in adjacent bands, as appropriate.</w:t>
      </w:r>
    </w:p>
    <w:p w:rsidR="00205F07" w:rsidRPr="00DE6217" w:rsidRDefault="00205F07">
      <w:pPr>
        <w:spacing w:before="180" w:after="180"/>
        <w:rPr>
          <w:lang w:val="en-US"/>
        </w:rPr>
      </w:pPr>
      <w:hyperlink w:anchor="_ftnref2" w:history="1">
        <w:bookmarkStart w:id="3" w:name="_ftn2"/>
        <w:r w:rsidR="00DE6217" w:rsidRPr="00DE6217">
          <w:rPr>
            <w:rFonts w:ascii="Verdana" w:eastAsia="Verdana" w:hAnsi="Verdana" w:cs="Verdana"/>
            <w:color w:val="0000EE"/>
            <w:sz w:val="18"/>
            <w:szCs w:val="18"/>
            <w:u w:val="single"/>
            <w:lang w:val="en-US"/>
          </w:rPr>
          <w:t>[2]</w:t>
        </w:r>
      </w:hyperlink>
      <w:bookmarkEnd w:id="3"/>
      <w:r w:rsidR="00DE6217" w:rsidRPr="00DE6217">
        <w:rPr>
          <w:rFonts w:ascii="Verdana" w:eastAsia="Verdana" w:hAnsi="Verdana" w:cs="Verdana"/>
          <w:sz w:val="18"/>
          <w:szCs w:val="18"/>
          <w:lang w:val="en-US"/>
        </w:rPr>
        <w:t xml:space="preserve"> When conducting studies in the band 24.5-27.5 GHz, to take into account the need to ensure the protection of existing earth stations and the deployment of future receiving earth stations under the EESS (space-to-Earth) and SRS (space-to-Earth) allocation </w:t>
      </w:r>
      <w:r w:rsidR="00DE6217" w:rsidRPr="00DE6217">
        <w:rPr>
          <w:rFonts w:ascii="Verdana" w:eastAsia="Verdana" w:hAnsi="Verdana" w:cs="Verdana"/>
          <w:sz w:val="18"/>
          <w:szCs w:val="18"/>
          <w:lang w:val="en-US"/>
        </w:rPr>
        <w:t>in the frequency band 25.5-27 GHz.</w:t>
      </w:r>
    </w:p>
    <w:p w:rsidR="00205F07" w:rsidRPr="00DE6217" w:rsidRDefault="00DE6217">
      <w:pPr>
        <w:rPr>
          <w:lang w:val="en-US"/>
        </w:rPr>
      </w:pPr>
      <w:r w:rsidRPr="00DE6217">
        <w:rPr>
          <w:rFonts w:ascii="Verdana" w:eastAsia="Verdana" w:hAnsi="Verdana" w:cs="Verdana"/>
          <w:b/>
          <w:bCs/>
          <w:sz w:val="18"/>
          <w:szCs w:val="18"/>
          <w:lang w:val="en-US"/>
        </w:rPr>
        <w:t xml:space="preserve">Questions: </w:t>
      </w:r>
    </w:p>
    <w:p w:rsidR="00205F07" w:rsidRPr="00DE6217" w:rsidRDefault="00DE6217">
      <w:pPr>
        <w:spacing w:before="180" w:after="180"/>
        <w:rPr>
          <w:lang w:val="en-US"/>
        </w:rPr>
      </w:pPr>
      <w:r w:rsidRPr="00DE6217">
        <w:rPr>
          <w:rFonts w:ascii="Verdana" w:eastAsia="Verdana" w:hAnsi="Verdana" w:cs="Verdana"/>
          <w:sz w:val="18"/>
          <w:szCs w:val="18"/>
          <w:lang w:val="en-US"/>
        </w:rPr>
        <w:t xml:space="preserve">Responses are invited from CEPT administrations on Questions 1 to 7. </w:t>
      </w:r>
    </w:p>
    <w:p w:rsidR="00205F07" w:rsidRPr="00DE6217" w:rsidRDefault="00DE6217">
      <w:pPr>
        <w:spacing w:before="180" w:after="180"/>
        <w:rPr>
          <w:lang w:val="en-US"/>
        </w:rPr>
      </w:pPr>
      <w:r w:rsidRPr="00DE6217">
        <w:rPr>
          <w:rFonts w:ascii="Verdana" w:eastAsia="Verdana" w:hAnsi="Verdana" w:cs="Verdana"/>
          <w:sz w:val="18"/>
          <w:szCs w:val="18"/>
          <w:lang w:val="en-US"/>
        </w:rPr>
        <w:t>Industry is invited to respond to Questions 6 and 7.</w:t>
      </w:r>
    </w:p>
    <w:p w:rsidR="00205F07" w:rsidRPr="00DE6217" w:rsidRDefault="00DE6217">
      <w:pPr>
        <w:spacing w:before="180" w:after="180"/>
        <w:rPr>
          <w:lang w:val="en-US"/>
        </w:rPr>
      </w:pPr>
      <w:r w:rsidRPr="00DE6217">
        <w:rPr>
          <w:rFonts w:ascii="Verdana" w:eastAsia="Verdana" w:hAnsi="Verdana" w:cs="Verdana"/>
          <w:b/>
          <w:bCs/>
          <w:sz w:val="18"/>
          <w:szCs w:val="18"/>
          <w:lang w:val="en-US"/>
        </w:rPr>
        <w:t>Deadline for Responses: </w:t>
      </w:r>
      <w:r w:rsidRPr="00DE6217">
        <w:rPr>
          <w:rFonts w:ascii="Verdana" w:eastAsia="Verdana" w:hAnsi="Verdana" w:cs="Verdana"/>
          <w:sz w:val="18"/>
          <w:szCs w:val="18"/>
          <w:lang w:val="en-US"/>
        </w:rPr>
        <w:t xml:space="preserve"> 24th June 2016</w:t>
      </w:r>
    </w:p>
    <w:tbl>
      <w:tblPr>
        <w:tblStyle w:val="Questionarie-instanceInfo-tableTable"/>
        <w:tblW w:w="5000" w:type="pct"/>
        <w:tblCellSpacing w:w="15" w:type="dxa"/>
        <w:tblInd w:w="165" w:type="dxa"/>
        <w:tblCellMar>
          <w:top w:w="15" w:type="dxa"/>
          <w:left w:w="15" w:type="dxa"/>
          <w:bottom w:w="15" w:type="dxa"/>
          <w:right w:w="15" w:type="dxa"/>
        </w:tblCellMar>
        <w:tblLook w:val="04A0"/>
      </w:tblPr>
      <w:tblGrid>
        <w:gridCol w:w="2595"/>
        <w:gridCol w:w="6435"/>
      </w:tblGrid>
      <w:tr w:rsidR="00205F07">
        <w:trPr>
          <w:tblCellSpacing w:w="15" w:type="dxa"/>
        </w:trPr>
        <w:tc>
          <w:tcPr>
            <w:tcW w:w="255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05F07" w:rsidRDefault="00DE6217">
            <w:proofErr w:type="spellStart"/>
            <w:r>
              <w:rPr>
                <w:rFonts w:ascii="Verdana" w:eastAsia="Verdana" w:hAnsi="Verdana" w:cs="Verdana"/>
                <w:sz w:val="18"/>
                <w:szCs w:val="18"/>
              </w:rPr>
              <w:t>Responding</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organisation</w:t>
            </w:r>
            <w:proofErr w:type="spellEnd"/>
            <w:r>
              <w:rPr>
                <w:rFonts w:ascii="Verdana" w:eastAsia="Verdana" w:hAnsi="Verdana" w:cs="Verdana"/>
                <w:sz w:val="18"/>
                <w:szCs w:val="18"/>
              </w:rPr>
              <w:t xml:space="preserv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05F07" w:rsidRDefault="00205F07"/>
        </w:tc>
      </w:tr>
      <w:tr w:rsidR="00205F07">
        <w:trPr>
          <w:tblCellSpacing w:w="15" w:type="dxa"/>
        </w:trPr>
        <w:tc>
          <w:tcPr>
            <w:tcW w:w="255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05F07" w:rsidRDefault="00DE6217">
            <w:proofErr w:type="spellStart"/>
            <w:r>
              <w:rPr>
                <w:rFonts w:ascii="Verdana" w:eastAsia="Verdana" w:hAnsi="Verdana" w:cs="Verdana"/>
                <w:sz w:val="18"/>
                <w:szCs w:val="18"/>
              </w:rPr>
              <w:lastRenderedPageBreak/>
              <w:t>Country</w:t>
            </w:r>
            <w:proofErr w:type="spellEnd"/>
            <w:r>
              <w:rPr>
                <w:rFonts w:ascii="Verdana" w:eastAsia="Verdana" w:hAnsi="Verdana" w:cs="Verdana"/>
                <w:sz w:val="18"/>
                <w:szCs w:val="18"/>
              </w:rPr>
              <w:t xml:space="preserv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05F07" w:rsidRDefault="00205F07"/>
        </w:tc>
      </w:tr>
      <w:tr w:rsidR="00205F07">
        <w:trPr>
          <w:tblCellSpacing w:w="15" w:type="dxa"/>
        </w:trPr>
        <w:tc>
          <w:tcPr>
            <w:tcW w:w="255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05F07" w:rsidRDefault="00DE6217">
            <w:proofErr w:type="spellStart"/>
            <w:r>
              <w:rPr>
                <w:rFonts w:ascii="Verdana" w:eastAsia="Verdana" w:hAnsi="Verdana" w:cs="Verdana"/>
                <w:sz w:val="18"/>
                <w:szCs w:val="18"/>
              </w:rPr>
              <w:t>Address</w:t>
            </w:r>
            <w:proofErr w:type="spellEnd"/>
            <w:r>
              <w:rPr>
                <w:rFonts w:ascii="Verdana" w:eastAsia="Verdana" w:hAnsi="Verdana" w:cs="Verdana"/>
                <w:sz w:val="18"/>
                <w:szCs w:val="18"/>
              </w:rPr>
              <w:t xml:space="preserv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05F07" w:rsidRDefault="00205F07"/>
        </w:tc>
      </w:tr>
      <w:tr w:rsidR="00205F07">
        <w:trPr>
          <w:tblCellSpacing w:w="15" w:type="dxa"/>
        </w:trPr>
        <w:tc>
          <w:tcPr>
            <w:tcW w:w="255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05F07" w:rsidRDefault="00DE6217">
            <w:r>
              <w:rPr>
                <w:rFonts w:ascii="Verdana" w:eastAsia="Verdana" w:hAnsi="Verdana" w:cs="Verdana"/>
                <w:sz w:val="18"/>
                <w:szCs w:val="18"/>
              </w:rPr>
              <w:t>E-</w:t>
            </w:r>
            <w:proofErr w:type="spellStart"/>
            <w:r>
              <w:rPr>
                <w:rFonts w:ascii="Verdana" w:eastAsia="Verdana" w:hAnsi="Verdana" w:cs="Verdana"/>
                <w:sz w:val="18"/>
                <w:szCs w:val="18"/>
              </w:rPr>
              <w:t>mail:</w:t>
            </w:r>
            <w:proofErr w:type="spellEnd"/>
            <w:r>
              <w:rPr>
                <w:rFonts w:ascii="Verdana" w:eastAsia="Verdana" w:hAnsi="Verdana" w:cs="Verdana"/>
                <w:sz w:val="18"/>
                <w:szCs w:val="18"/>
              </w:rPr>
              <w:t xml:space="preserv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05F07" w:rsidRDefault="00205F07"/>
        </w:tc>
      </w:tr>
      <w:tr w:rsidR="00205F07">
        <w:trPr>
          <w:tblCellSpacing w:w="15" w:type="dxa"/>
        </w:trPr>
        <w:tc>
          <w:tcPr>
            <w:tcW w:w="2550" w:type="dxa"/>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05F07" w:rsidRDefault="00DE6217">
            <w:proofErr w:type="spellStart"/>
            <w:r>
              <w:rPr>
                <w:rFonts w:ascii="Verdana" w:eastAsia="Verdana" w:hAnsi="Verdana" w:cs="Verdana"/>
                <w:sz w:val="18"/>
                <w:szCs w:val="18"/>
              </w:rPr>
              <w:t>Contact</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name</w:t>
            </w:r>
            <w:proofErr w:type="spellEnd"/>
            <w:r>
              <w:rPr>
                <w:rFonts w:ascii="Verdana" w:eastAsia="Verdana" w:hAnsi="Verdana" w:cs="Verdana"/>
                <w:sz w:val="18"/>
                <w:szCs w:val="18"/>
              </w:rPr>
              <w:t xml:space="preserv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205F07" w:rsidRDefault="00205F07"/>
        </w:tc>
      </w:tr>
    </w:tbl>
    <w:p w:rsidR="00205F07" w:rsidRPr="00DE6217" w:rsidRDefault="00DE6217">
      <w:pPr>
        <w:pStyle w:val="Questionarie-instanceQuestion-item"/>
        <w:keepLines/>
        <w:spacing w:after="0"/>
        <w:rPr>
          <w:lang w:val="en-US"/>
        </w:rPr>
      </w:pPr>
      <w:r w:rsidRPr="00DE6217">
        <w:rPr>
          <w:rFonts w:ascii="Verdana" w:eastAsia="Verdana" w:hAnsi="Verdana" w:cs="Verdana"/>
          <w:b/>
          <w:bCs/>
          <w:sz w:val="18"/>
          <w:szCs w:val="18"/>
          <w:lang w:val="en-US"/>
        </w:rPr>
        <w:t xml:space="preserve">Question 1: </w:t>
      </w:r>
      <w:r w:rsidRPr="00DE6217">
        <w:rPr>
          <w:rStyle w:val="Questionarie-instanceQuestion-text"/>
          <w:rFonts w:ascii="Verdana" w:eastAsia="Verdana" w:hAnsi="Verdana" w:cs="Verdana"/>
          <w:sz w:val="18"/>
          <w:szCs w:val="18"/>
          <w:lang w:val="en-US"/>
        </w:rPr>
        <w:t xml:space="preserve">Which incumbent services/applications are currently allocated/ assigned to bands listed in Resolution 238 within your country? (The frequency ranges can be split into sub-bands as appropriate) </w:t>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31.8 - 33.4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37 - 40.5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40.5 - 42.5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42.5 - 43.5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45.5 - 47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47 - 47.2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47.2 - 50.2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50.4 - 52.6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66 - 76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81 - 85 GHz </w:t>
      </w:r>
    </w:p>
    <w:p w:rsidR="00205F07" w:rsidRPr="00DE6217" w:rsidRDefault="00DE6217">
      <w:pPr>
        <w:rPr>
          <w:lang w:val="en-US"/>
        </w:rPr>
      </w:pPr>
      <w:r w:rsidRPr="00DE6217">
        <w:rPr>
          <w:lang w:val="en-US"/>
        </w:rPr>
        <w:br/>
      </w:r>
    </w:p>
    <w:p w:rsidR="00205F07" w:rsidRPr="00DE6217" w:rsidRDefault="00DE6217">
      <w:pPr>
        <w:pStyle w:val="Questionarie-instanceSub-question"/>
        <w:spacing w:after="450"/>
        <w:rPr>
          <w:lang w:val="en-US"/>
        </w:rPr>
      </w:pPr>
      <w:r w:rsidRPr="00DE6217">
        <w:rPr>
          <w:rFonts w:ascii="Verdana" w:eastAsia="Verdana" w:hAnsi="Verdana" w:cs="Verdana"/>
          <w:sz w:val="18"/>
          <w:szCs w:val="18"/>
          <w:lang w:val="en-US"/>
        </w:rPr>
        <w:t xml:space="preserve">24.25 - 27.5 GHz </w:t>
      </w:r>
    </w:p>
    <w:p w:rsidR="00205F07" w:rsidRPr="00DE6217" w:rsidRDefault="00DE6217">
      <w:pPr>
        <w:pStyle w:val="Questionarie-instanceQuestion-item"/>
        <w:keepLines/>
        <w:spacing w:after="0"/>
        <w:rPr>
          <w:lang w:val="en-US"/>
        </w:rPr>
      </w:pPr>
      <w:r w:rsidRPr="00DE6217">
        <w:rPr>
          <w:rFonts w:ascii="Verdana" w:eastAsia="Verdana" w:hAnsi="Verdana" w:cs="Verdana"/>
          <w:b/>
          <w:bCs/>
          <w:sz w:val="18"/>
          <w:szCs w:val="18"/>
          <w:lang w:val="en-US"/>
        </w:rPr>
        <w:t xml:space="preserve">Question 2: </w:t>
      </w:r>
      <w:r w:rsidRPr="00DE6217">
        <w:rPr>
          <w:rStyle w:val="Questionarie-instanceQuestion-text"/>
          <w:rFonts w:ascii="Verdana" w:eastAsia="Verdana" w:hAnsi="Verdana" w:cs="Verdana"/>
          <w:sz w:val="18"/>
          <w:szCs w:val="18"/>
          <w:lang w:val="en-US"/>
        </w:rPr>
        <w:t xml:space="preserve">To what extent are those applications used (e.g. number of stations)? (The frequency ranges can be split into sub-bands as appropriate) </w:t>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24.25 - 27.5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31.8 - 33.4 GHz </w:t>
      </w:r>
    </w:p>
    <w:p w:rsidR="00205F07" w:rsidRPr="00DE6217" w:rsidRDefault="00DE6217">
      <w:pPr>
        <w:rPr>
          <w:lang w:val="en-US"/>
        </w:rPr>
      </w:pPr>
      <w:r w:rsidRPr="00DE6217">
        <w:rPr>
          <w:lang w:val="en-US"/>
        </w:rPr>
        <w:lastRenderedPageBreak/>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37 - 40.5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40.5 - 42.5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42.5 - 43.5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45.5 - 47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47 - 47.2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47.2 - 50.2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50.4 - 52.6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66 - 76 GHz </w:t>
      </w:r>
    </w:p>
    <w:p w:rsidR="00205F07" w:rsidRPr="00DE6217" w:rsidRDefault="00DE6217">
      <w:pPr>
        <w:rPr>
          <w:lang w:val="en-US"/>
        </w:rPr>
      </w:pPr>
      <w:r w:rsidRPr="00DE6217">
        <w:rPr>
          <w:lang w:val="en-US"/>
        </w:rPr>
        <w:br/>
      </w:r>
    </w:p>
    <w:p w:rsidR="00205F07" w:rsidRPr="00DE6217" w:rsidRDefault="00DE6217">
      <w:pPr>
        <w:pStyle w:val="Questionarie-instanceSub-question"/>
        <w:spacing w:after="450"/>
        <w:rPr>
          <w:lang w:val="en-US"/>
        </w:rPr>
      </w:pPr>
      <w:r w:rsidRPr="00DE6217">
        <w:rPr>
          <w:rFonts w:ascii="Verdana" w:eastAsia="Verdana" w:hAnsi="Verdana" w:cs="Verdana"/>
          <w:sz w:val="18"/>
          <w:szCs w:val="18"/>
          <w:lang w:val="en-US"/>
        </w:rPr>
        <w:t xml:space="preserve">81 - 86 GHz </w:t>
      </w:r>
    </w:p>
    <w:p w:rsidR="00205F07" w:rsidRPr="00DE6217" w:rsidRDefault="00DE6217">
      <w:pPr>
        <w:pStyle w:val="Questionarie-instanceQuestion-item"/>
        <w:keepLines/>
        <w:spacing w:after="0"/>
        <w:rPr>
          <w:lang w:val="en-US"/>
        </w:rPr>
      </w:pPr>
      <w:r w:rsidRPr="00DE6217">
        <w:rPr>
          <w:rFonts w:ascii="Verdana" w:eastAsia="Verdana" w:hAnsi="Verdana" w:cs="Verdana"/>
          <w:b/>
          <w:bCs/>
          <w:sz w:val="18"/>
          <w:szCs w:val="18"/>
          <w:lang w:val="en-US"/>
        </w:rPr>
        <w:t xml:space="preserve">Question 3: </w:t>
      </w:r>
      <w:r w:rsidRPr="00DE6217">
        <w:rPr>
          <w:rStyle w:val="Questionarie-instanceQuestion-text"/>
          <w:rFonts w:ascii="Verdana" w:eastAsia="Verdana" w:hAnsi="Verdana" w:cs="Verdana"/>
          <w:sz w:val="18"/>
          <w:szCs w:val="18"/>
          <w:lang w:val="en-US"/>
        </w:rPr>
        <w:t xml:space="preserve">Is there any expiry date for the existing </w:t>
      </w:r>
      <w:proofErr w:type="spellStart"/>
      <w:r w:rsidRPr="00DE6217">
        <w:rPr>
          <w:rStyle w:val="Questionarie-instanceQuestion-text"/>
          <w:rFonts w:ascii="Verdana" w:eastAsia="Verdana" w:hAnsi="Verdana" w:cs="Verdana"/>
          <w:sz w:val="18"/>
          <w:szCs w:val="18"/>
          <w:lang w:val="en-US"/>
        </w:rPr>
        <w:t>licences</w:t>
      </w:r>
      <w:proofErr w:type="spellEnd"/>
      <w:r w:rsidRPr="00DE6217">
        <w:rPr>
          <w:rStyle w:val="Questionarie-instanceQuestion-text"/>
          <w:rFonts w:ascii="Verdana" w:eastAsia="Verdana" w:hAnsi="Verdana" w:cs="Verdana"/>
          <w:sz w:val="18"/>
          <w:szCs w:val="18"/>
          <w:lang w:val="en-US"/>
        </w:rPr>
        <w:t xml:space="preserve">? (The frequency ranges can be split into sub-bands as appropriate) </w:t>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24.25 - 27.5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31.8 - 33.4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37 - 40.5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37 - 40.5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40.5 - 42.5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42.5 - 43.5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45.5 - 47 GHz </w:t>
      </w:r>
    </w:p>
    <w:p w:rsidR="00205F07" w:rsidRPr="00DE6217" w:rsidRDefault="00DE6217">
      <w:pPr>
        <w:rPr>
          <w:lang w:val="en-US"/>
        </w:rPr>
      </w:pPr>
      <w:r w:rsidRPr="00DE6217">
        <w:rPr>
          <w:lang w:val="en-US"/>
        </w:rPr>
        <w:lastRenderedPageBreak/>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47 - 47.2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47.2 - 50.2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50.4 - 52.6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66 - 76 GHz </w:t>
      </w:r>
    </w:p>
    <w:p w:rsidR="00205F07" w:rsidRPr="00DE6217" w:rsidRDefault="00DE6217">
      <w:pPr>
        <w:rPr>
          <w:lang w:val="en-US"/>
        </w:rPr>
      </w:pPr>
      <w:r w:rsidRPr="00DE6217">
        <w:rPr>
          <w:lang w:val="en-US"/>
        </w:rPr>
        <w:br/>
      </w:r>
    </w:p>
    <w:p w:rsidR="00205F07" w:rsidRPr="00DE6217" w:rsidRDefault="00DE6217">
      <w:pPr>
        <w:pStyle w:val="Questionarie-instanceSub-question"/>
        <w:spacing w:after="450"/>
        <w:rPr>
          <w:lang w:val="en-US"/>
        </w:rPr>
      </w:pPr>
      <w:r w:rsidRPr="00DE6217">
        <w:rPr>
          <w:rFonts w:ascii="Verdana" w:eastAsia="Verdana" w:hAnsi="Verdana" w:cs="Verdana"/>
          <w:sz w:val="18"/>
          <w:szCs w:val="18"/>
          <w:lang w:val="en-US"/>
        </w:rPr>
        <w:t xml:space="preserve">81 -86 GHz </w:t>
      </w:r>
    </w:p>
    <w:p w:rsidR="00205F07" w:rsidRPr="00DE6217" w:rsidRDefault="00DE6217">
      <w:pPr>
        <w:pStyle w:val="Questionarie-instanceQuestion-item"/>
        <w:keepLines/>
        <w:spacing w:after="0"/>
        <w:rPr>
          <w:lang w:val="en-US"/>
        </w:rPr>
      </w:pPr>
      <w:r w:rsidRPr="00DE6217">
        <w:rPr>
          <w:rFonts w:ascii="Verdana" w:eastAsia="Verdana" w:hAnsi="Verdana" w:cs="Verdana"/>
          <w:b/>
          <w:bCs/>
          <w:sz w:val="18"/>
          <w:szCs w:val="18"/>
          <w:lang w:val="en-US"/>
        </w:rPr>
        <w:t xml:space="preserve">Question 4: </w:t>
      </w:r>
      <w:r w:rsidRPr="00DE6217">
        <w:rPr>
          <w:rStyle w:val="Questionarie-instanceQuestion-text"/>
          <w:rFonts w:ascii="Verdana" w:eastAsia="Verdana" w:hAnsi="Verdana" w:cs="Verdana"/>
          <w:sz w:val="18"/>
          <w:szCs w:val="18"/>
          <w:lang w:val="en-US"/>
        </w:rPr>
        <w:t xml:space="preserve">How widely are existing services deployed within your country (in space and time – for example the geographical deployment in urban versus rural areas)? (The frequency ranges can be split into sub-bands as appropriate) </w:t>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24.25 - 27.5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31.8 - 33.4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37 - 40.5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40.5 - 42.5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42.5 - 43.5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45.5 - 47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47 - 47.2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47.2 - 50.2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50.4 - 52.6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66 - 76 GHz </w:t>
      </w:r>
    </w:p>
    <w:p w:rsidR="00205F07" w:rsidRPr="00DE6217" w:rsidRDefault="00DE6217">
      <w:pPr>
        <w:rPr>
          <w:lang w:val="en-US"/>
        </w:rPr>
      </w:pPr>
      <w:r w:rsidRPr="00DE6217">
        <w:rPr>
          <w:lang w:val="en-US"/>
        </w:rPr>
        <w:br/>
      </w:r>
    </w:p>
    <w:p w:rsidR="00205F07" w:rsidRPr="00DE6217" w:rsidRDefault="00DE6217">
      <w:pPr>
        <w:pStyle w:val="Questionarie-instanceSub-question"/>
        <w:spacing w:after="450"/>
        <w:rPr>
          <w:lang w:val="en-US"/>
        </w:rPr>
      </w:pPr>
      <w:r w:rsidRPr="00DE6217">
        <w:rPr>
          <w:rFonts w:ascii="Verdana" w:eastAsia="Verdana" w:hAnsi="Verdana" w:cs="Verdana"/>
          <w:sz w:val="18"/>
          <w:szCs w:val="18"/>
          <w:lang w:val="en-US"/>
        </w:rPr>
        <w:t xml:space="preserve">81 - 86 GHz </w:t>
      </w:r>
    </w:p>
    <w:p w:rsidR="00205F07" w:rsidRPr="00DE6217" w:rsidRDefault="00DE6217">
      <w:pPr>
        <w:pStyle w:val="Questionarie-instanceQuestion-item"/>
        <w:keepLines/>
        <w:spacing w:after="0"/>
        <w:rPr>
          <w:lang w:val="en-US"/>
        </w:rPr>
      </w:pPr>
      <w:r w:rsidRPr="00DE6217">
        <w:rPr>
          <w:rFonts w:ascii="Verdana" w:eastAsia="Verdana" w:hAnsi="Verdana" w:cs="Verdana"/>
          <w:b/>
          <w:bCs/>
          <w:sz w:val="18"/>
          <w:szCs w:val="18"/>
          <w:lang w:val="en-US"/>
        </w:rPr>
        <w:lastRenderedPageBreak/>
        <w:t xml:space="preserve">Question 5: </w:t>
      </w:r>
      <w:r w:rsidRPr="00DE6217">
        <w:rPr>
          <w:rStyle w:val="Questionarie-instanceQuestion-text"/>
          <w:rFonts w:ascii="Verdana" w:eastAsia="Verdana" w:hAnsi="Verdana" w:cs="Verdana"/>
          <w:sz w:val="18"/>
          <w:szCs w:val="18"/>
          <w:lang w:val="en-US"/>
        </w:rPr>
        <w:t xml:space="preserve">Do you have any future plans for these bands? (The frequency ranges can be split into sub-bands as appropriate) </w:t>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24.25 - 27.5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31.8 - 33.4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37 - 40.5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40.5 - 42.5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42.5 - 43.5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45.5 - 47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47 - 47.2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47.2 - 50.2 GHz</w:t>
      </w:r>
      <w:r w:rsidRPr="00DE6217">
        <w:rPr>
          <w:rFonts w:ascii="Verdana" w:eastAsia="Verdana" w:hAnsi="Verdana" w:cs="Verdana"/>
          <w:sz w:val="18"/>
          <w:szCs w:val="18"/>
          <w:lang w:val="en-US"/>
        </w:rPr>
        <w:t xml:space="preserve">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50.4 - 52.6 GHz </w:t>
      </w:r>
    </w:p>
    <w:p w:rsidR="00205F07" w:rsidRPr="00DE6217" w:rsidRDefault="00DE6217">
      <w:pPr>
        <w:rPr>
          <w:lang w:val="en-US"/>
        </w:rPr>
      </w:pPr>
      <w:r w:rsidRPr="00DE6217">
        <w:rPr>
          <w:lang w:val="en-US"/>
        </w:rPr>
        <w:br/>
      </w:r>
    </w:p>
    <w:p w:rsidR="00205F07" w:rsidRPr="00DE6217" w:rsidRDefault="00DE6217">
      <w:pPr>
        <w:pStyle w:val="Questionarie-instanceSub-question"/>
        <w:rPr>
          <w:lang w:val="en-US"/>
        </w:rPr>
      </w:pPr>
      <w:r w:rsidRPr="00DE6217">
        <w:rPr>
          <w:rFonts w:ascii="Verdana" w:eastAsia="Verdana" w:hAnsi="Verdana" w:cs="Verdana"/>
          <w:sz w:val="18"/>
          <w:szCs w:val="18"/>
          <w:lang w:val="en-US"/>
        </w:rPr>
        <w:t xml:space="preserve">66 - 76 GHz </w:t>
      </w:r>
    </w:p>
    <w:p w:rsidR="00205F07" w:rsidRPr="00DE6217" w:rsidRDefault="00DE6217">
      <w:pPr>
        <w:rPr>
          <w:lang w:val="en-US"/>
        </w:rPr>
      </w:pPr>
      <w:r w:rsidRPr="00DE6217">
        <w:rPr>
          <w:lang w:val="en-US"/>
        </w:rPr>
        <w:br/>
      </w:r>
    </w:p>
    <w:p w:rsidR="00205F07" w:rsidRPr="00DE6217" w:rsidRDefault="00DE6217">
      <w:pPr>
        <w:pStyle w:val="Questionarie-instanceSub-question"/>
        <w:spacing w:after="450"/>
        <w:rPr>
          <w:lang w:val="en-US"/>
        </w:rPr>
      </w:pPr>
      <w:r w:rsidRPr="00DE6217">
        <w:rPr>
          <w:rFonts w:ascii="Verdana" w:eastAsia="Verdana" w:hAnsi="Verdana" w:cs="Verdana"/>
          <w:sz w:val="18"/>
          <w:szCs w:val="18"/>
          <w:lang w:val="en-US"/>
        </w:rPr>
        <w:t xml:space="preserve">81 - 86 GHz </w:t>
      </w:r>
    </w:p>
    <w:p w:rsidR="00205F07" w:rsidRPr="00DE6217" w:rsidRDefault="00DE6217">
      <w:pPr>
        <w:pStyle w:val="Questionarie-instanceQuestion-item"/>
        <w:keepLines/>
        <w:rPr>
          <w:lang w:val="en-US"/>
        </w:rPr>
      </w:pPr>
      <w:r w:rsidRPr="00DE6217">
        <w:rPr>
          <w:rFonts w:ascii="Verdana" w:eastAsia="Verdana" w:hAnsi="Verdana" w:cs="Verdana"/>
          <w:b/>
          <w:bCs/>
          <w:sz w:val="18"/>
          <w:szCs w:val="18"/>
          <w:lang w:val="en-US"/>
        </w:rPr>
        <w:t xml:space="preserve">Question 6: </w:t>
      </w:r>
      <w:r w:rsidRPr="00DE6217">
        <w:rPr>
          <w:rStyle w:val="Questionarie-instanceQuestion-text"/>
          <w:rFonts w:ascii="Verdana" w:eastAsia="Verdana" w:hAnsi="Verdana" w:cs="Verdana"/>
          <w:sz w:val="18"/>
          <w:szCs w:val="18"/>
          <w:lang w:val="en-US"/>
        </w:rPr>
        <w:t xml:space="preserve">What are the issues / challenges that need be considered in order to allocate, identify and make available for use the bands for IMT-2020? </w:t>
      </w:r>
    </w:p>
    <w:p w:rsidR="00205F07" w:rsidRPr="00DE6217" w:rsidRDefault="00DE6217">
      <w:pPr>
        <w:shd w:val="clear" w:color="auto" w:fill="FFFFFF"/>
        <w:spacing w:before="150" w:after="450"/>
        <w:rPr>
          <w:lang w:val="en-US"/>
        </w:rPr>
      </w:pPr>
      <w:r w:rsidRPr="00DE6217">
        <w:rPr>
          <w:rFonts w:ascii="Verdana" w:eastAsia="Verdana" w:hAnsi="Verdana" w:cs="Verdana"/>
          <w:sz w:val="18"/>
          <w:szCs w:val="18"/>
          <w:lang w:val="en-US"/>
        </w:rPr>
        <w:t xml:space="preserve">At the April 2016 meeting of ECC PT1 the question of </w:t>
      </w:r>
      <w:r w:rsidRPr="00DE6217">
        <w:rPr>
          <w:rFonts w:ascii="Verdana" w:eastAsia="Verdana" w:hAnsi="Verdana" w:cs="Verdana"/>
          <w:sz w:val="18"/>
          <w:szCs w:val="18"/>
          <w:lang w:val="en-US"/>
        </w:rPr>
        <w:t xml:space="preserve">a band </w:t>
      </w:r>
      <w:proofErr w:type="spellStart"/>
      <w:r w:rsidRPr="00DE6217">
        <w:rPr>
          <w:rFonts w:ascii="Verdana" w:eastAsia="Verdana" w:hAnsi="Verdana" w:cs="Verdana"/>
          <w:sz w:val="18"/>
          <w:szCs w:val="18"/>
          <w:lang w:val="en-US"/>
        </w:rPr>
        <w:t>priorisation</w:t>
      </w:r>
      <w:proofErr w:type="spellEnd"/>
      <w:r w:rsidRPr="00DE6217">
        <w:rPr>
          <w:rFonts w:ascii="Verdana" w:eastAsia="Verdana" w:hAnsi="Verdana" w:cs="Verdana"/>
          <w:sz w:val="18"/>
          <w:szCs w:val="18"/>
          <w:lang w:val="en-US"/>
        </w:rPr>
        <w:t xml:space="preserve"> / focus for CEPT studies was discussed (see section 10.9.4 - ECC </w:t>
      </w:r>
      <w:proofErr w:type="gramStart"/>
      <w:r w:rsidRPr="00DE6217">
        <w:rPr>
          <w:rFonts w:ascii="Verdana" w:eastAsia="Verdana" w:hAnsi="Verdana" w:cs="Verdana"/>
          <w:sz w:val="18"/>
          <w:szCs w:val="18"/>
          <w:lang w:val="en-US"/>
        </w:rPr>
        <w:t>PT1(</w:t>
      </w:r>
      <w:proofErr w:type="gramEnd"/>
      <w:r w:rsidRPr="00DE6217">
        <w:rPr>
          <w:rFonts w:ascii="Verdana" w:eastAsia="Verdana" w:hAnsi="Verdana" w:cs="Verdana"/>
          <w:sz w:val="18"/>
          <w:szCs w:val="18"/>
          <w:lang w:val="en-US"/>
        </w:rPr>
        <w:t>16)083). As it was not possible to agree on a common approach to focus on certain bands at that point the issue will be discussed again at the September 2016 meeting o</w:t>
      </w:r>
      <w:r w:rsidRPr="00DE6217">
        <w:rPr>
          <w:rFonts w:ascii="Verdana" w:eastAsia="Verdana" w:hAnsi="Verdana" w:cs="Verdana"/>
          <w:sz w:val="18"/>
          <w:szCs w:val="18"/>
          <w:lang w:val="en-US"/>
        </w:rPr>
        <w:t xml:space="preserve">f ECC PT1 based on responses to this questionnaire and other relevant input contributions. </w:t>
      </w:r>
    </w:p>
    <w:p w:rsidR="00205F07" w:rsidRDefault="00DE6217">
      <w:pPr>
        <w:pStyle w:val="Questionarie-instanceQuestion-item"/>
        <w:keepLines/>
      </w:pPr>
      <w:r w:rsidRPr="00DE6217">
        <w:rPr>
          <w:rFonts w:ascii="Verdana" w:eastAsia="Verdana" w:hAnsi="Verdana" w:cs="Verdana"/>
          <w:b/>
          <w:bCs/>
          <w:sz w:val="18"/>
          <w:szCs w:val="18"/>
          <w:lang w:val="en-US"/>
        </w:rPr>
        <w:t xml:space="preserve">Question 7: </w:t>
      </w:r>
      <w:r w:rsidRPr="00DE6217">
        <w:rPr>
          <w:rStyle w:val="Questionarie-instanceQuestion-text"/>
          <w:rFonts w:ascii="Verdana" w:eastAsia="Verdana" w:hAnsi="Verdana" w:cs="Verdana"/>
          <w:sz w:val="18"/>
          <w:szCs w:val="18"/>
          <w:lang w:val="en-US"/>
        </w:rPr>
        <w:t xml:space="preserve">Which of the bands listed in Resolution 238 (or parts of these bands) should be priorities for study in CEPT under WRC-19 Agenda Item 1.13? </w:t>
      </w:r>
      <w:proofErr w:type="spellStart"/>
      <w:r>
        <w:rPr>
          <w:rStyle w:val="Questionarie-instanceQuestion-text"/>
          <w:rFonts w:ascii="Verdana" w:eastAsia="Verdana" w:hAnsi="Verdana" w:cs="Verdana"/>
          <w:sz w:val="18"/>
          <w:szCs w:val="18"/>
        </w:rPr>
        <w:t>Please</w:t>
      </w:r>
      <w:proofErr w:type="spellEnd"/>
      <w:r>
        <w:rPr>
          <w:rStyle w:val="Questionarie-instanceQuestion-text"/>
          <w:rFonts w:ascii="Verdana" w:eastAsia="Verdana" w:hAnsi="Verdana" w:cs="Verdana"/>
          <w:sz w:val="18"/>
          <w:szCs w:val="18"/>
        </w:rPr>
        <w:t xml:space="preserve"> </w:t>
      </w:r>
      <w:proofErr w:type="spellStart"/>
      <w:r>
        <w:rPr>
          <w:rStyle w:val="Questionarie-instanceQuestion-text"/>
          <w:rFonts w:ascii="Verdana" w:eastAsia="Verdana" w:hAnsi="Verdana" w:cs="Verdana"/>
          <w:sz w:val="18"/>
          <w:szCs w:val="18"/>
        </w:rPr>
        <w:t>expla</w:t>
      </w:r>
      <w:r>
        <w:rPr>
          <w:rStyle w:val="Questionarie-instanceQuestion-text"/>
          <w:rFonts w:ascii="Verdana" w:eastAsia="Verdana" w:hAnsi="Verdana" w:cs="Verdana"/>
          <w:sz w:val="18"/>
          <w:szCs w:val="18"/>
        </w:rPr>
        <w:t>in</w:t>
      </w:r>
      <w:proofErr w:type="spellEnd"/>
      <w:r>
        <w:rPr>
          <w:rStyle w:val="Questionarie-instanceQuestion-text"/>
          <w:rFonts w:ascii="Verdana" w:eastAsia="Verdana" w:hAnsi="Verdana" w:cs="Verdana"/>
          <w:sz w:val="18"/>
          <w:szCs w:val="18"/>
        </w:rPr>
        <w:t xml:space="preserve"> </w:t>
      </w:r>
      <w:proofErr w:type="spellStart"/>
      <w:r>
        <w:rPr>
          <w:rStyle w:val="Questionarie-instanceQuestion-text"/>
          <w:rFonts w:ascii="Verdana" w:eastAsia="Verdana" w:hAnsi="Verdana" w:cs="Verdana"/>
          <w:sz w:val="18"/>
          <w:szCs w:val="18"/>
        </w:rPr>
        <w:t>why</w:t>
      </w:r>
      <w:proofErr w:type="spellEnd"/>
      <w:r>
        <w:rPr>
          <w:rStyle w:val="Questionarie-instanceQuestion-text"/>
          <w:rFonts w:ascii="Verdana" w:eastAsia="Verdana" w:hAnsi="Verdana" w:cs="Verdana"/>
          <w:sz w:val="18"/>
          <w:szCs w:val="18"/>
        </w:rPr>
        <w:t xml:space="preserve"> </w:t>
      </w:r>
      <w:proofErr w:type="spellStart"/>
      <w:r>
        <w:rPr>
          <w:rStyle w:val="Questionarie-instanceQuestion-text"/>
          <w:rFonts w:ascii="Verdana" w:eastAsia="Verdana" w:hAnsi="Verdana" w:cs="Verdana"/>
          <w:sz w:val="18"/>
          <w:szCs w:val="18"/>
        </w:rPr>
        <w:t>these</w:t>
      </w:r>
      <w:proofErr w:type="spellEnd"/>
      <w:r>
        <w:rPr>
          <w:rStyle w:val="Questionarie-instanceQuestion-text"/>
          <w:rFonts w:ascii="Verdana" w:eastAsia="Verdana" w:hAnsi="Verdana" w:cs="Verdana"/>
          <w:sz w:val="18"/>
          <w:szCs w:val="18"/>
        </w:rPr>
        <w:t xml:space="preserve"> </w:t>
      </w:r>
      <w:proofErr w:type="spellStart"/>
      <w:r>
        <w:rPr>
          <w:rStyle w:val="Questionarie-instanceQuestion-text"/>
          <w:rFonts w:ascii="Verdana" w:eastAsia="Verdana" w:hAnsi="Verdana" w:cs="Verdana"/>
          <w:sz w:val="18"/>
          <w:szCs w:val="18"/>
        </w:rPr>
        <w:t>bands</w:t>
      </w:r>
      <w:proofErr w:type="spellEnd"/>
      <w:r>
        <w:rPr>
          <w:rStyle w:val="Questionarie-instanceQuestion-text"/>
          <w:rFonts w:ascii="Verdana" w:eastAsia="Verdana" w:hAnsi="Verdana" w:cs="Verdana"/>
          <w:sz w:val="18"/>
          <w:szCs w:val="18"/>
        </w:rPr>
        <w:t xml:space="preserve"> </w:t>
      </w:r>
      <w:proofErr w:type="spellStart"/>
      <w:r>
        <w:rPr>
          <w:rStyle w:val="Questionarie-instanceQuestion-text"/>
          <w:rFonts w:ascii="Verdana" w:eastAsia="Verdana" w:hAnsi="Verdana" w:cs="Verdana"/>
          <w:sz w:val="18"/>
          <w:szCs w:val="18"/>
        </w:rPr>
        <w:t>should</w:t>
      </w:r>
      <w:proofErr w:type="spellEnd"/>
      <w:r>
        <w:rPr>
          <w:rStyle w:val="Questionarie-instanceQuestion-text"/>
          <w:rFonts w:ascii="Verdana" w:eastAsia="Verdana" w:hAnsi="Verdana" w:cs="Verdana"/>
          <w:sz w:val="18"/>
          <w:szCs w:val="18"/>
        </w:rPr>
        <w:t xml:space="preserve"> </w:t>
      </w:r>
      <w:proofErr w:type="spellStart"/>
      <w:r>
        <w:rPr>
          <w:rStyle w:val="Questionarie-instanceQuestion-text"/>
          <w:rFonts w:ascii="Verdana" w:eastAsia="Verdana" w:hAnsi="Verdana" w:cs="Verdana"/>
          <w:sz w:val="18"/>
          <w:szCs w:val="18"/>
        </w:rPr>
        <w:t>be</w:t>
      </w:r>
      <w:proofErr w:type="spellEnd"/>
      <w:r>
        <w:rPr>
          <w:rStyle w:val="Questionarie-instanceQuestion-text"/>
          <w:rFonts w:ascii="Verdana" w:eastAsia="Verdana" w:hAnsi="Verdana" w:cs="Verdana"/>
          <w:sz w:val="18"/>
          <w:szCs w:val="18"/>
        </w:rPr>
        <w:t xml:space="preserve"> </w:t>
      </w:r>
      <w:proofErr w:type="spellStart"/>
      <w:r>
        <w:rPr>
          <w:rStyle w:val="Questionarie-instanceQuestion-text"/>
          <w:rFonts w:ascii="Verdana" w:eastAsia="Verdana" w:hAnsi="Verdana" w:cs="Verdana"/>
          <w:sz w:val="18"/>
          <w:szCs w:val="18"/>
        </w:rPr>
        <w:t>prioritised</w:t>
      </w:r>
      <w:proofErr w:type="spellEnd"/>
      <w:r>
        <w:rPr>
          <w:rStyle w:val="Questionarie-instanceQuestion-text"/>
          <w:rFonts w:ascii="Verdana" w:eastAsia="Verdana" w:hAnsi="Verdana" w:cs="Verdana"/>
          <w:sz w:val="18"/>
          <w:szCs w:val="18"/>
        </w:rPr>
        <w:t xml:space="preserve">. </w:t>
      </w:r>
    </w:p>
    <w:p w:rsidR="00205F07" w:rsidRDefault="00205F07">
      <w:pPr>
        <w:spacing w:after="450"/>
      </w:pPr>
    </w:p>
    <w:sectPr w:rsidR="00205F07" w:rsidSect="00205F0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431CF178">
      <w:start w:val="1"/>
      <w:numFmt w:val="bullet"/>
      <w:lvlText w:val=""/>
      <w:lvlJc w:val="left"/>
      <w:pPr>
        <w:tabs>
          <w:tab w:val="num" w:pos="720"/>
        </w:tabs>
        <w:ind w:left="720" w:hanging="360"/>
      </w:pPr>
      <w:rPr>
        <w:rFonts w:ascii="Symbol" w:hAnsi="Symbol"/>
        <w:sz w:val="18"/>
        <w:szCs w:val="18"/>
        <w:bdr w:val="nil"/>
      </w:rPr>
    </w:lvl>
    <w:lvl w:ilvl="1" w:tplc="2FCAE886">
      <w:start w:val="1"/>
      <w:numFmt w:val="bullet"/>
      <w:lvlText w:val="o"/>
      <w:lvlJc w:val="left"/>
      <w:pPr>
        <w:tabs>
          <w:tab w:val="num" w:pos="1440"/>
        </w:tabs>
        <w:ind w:left="1440" w:hanging="360"/>
      </w:pPr>
      <w:rPr>
        <w:rFonts w:ascii="Courier New" w:hAnsi="Courier New"/>
      </w:rPr>
    </w:lvl>
    <w:lvl w:ilvl="2" w:tplc="1F207380">
      <w:start w:val="1"/>
      <w:numFmt w:val="bullet"/>
      <w:lvlText w:val=""/>
      <w:lvlJc w:val="left"/>
      <w:pPr>
        <w:tabs>
          <w:tab w:val="num" w:pos="2160"/>
        </w:tabs>
        <w:ind w:left="2160" w:hanging="360"/>
      </w:pPr>
      <w:rPr>
        <w:rFonts w:ascii="Wingdings" w:hAnsi="Wingdings"/>
      </w:rPr>
    </w:lvl>
    <w:lvl w:ilvl="3" w:tplc="5DE80C0C">
      <w:start w:val="1"/>
      <w:numFmt w:val="bullet"/>
      <w:lvlText w:val=""/>
      <w:lvlJc w:val="left"/>
      <w:pPr>
        <w:tabs>
          <w:tab w:val="num" w:pos="2880"/>
        </w:tabs>
        <w:ind w:left="2880" w:hanging="360"/>
      </w:pPr>
      <w:rPr>
        <w:rFonts w:ascii="Symbol" w:hAnsi="Symbol"/>
      </w:rPr>
    </w:lvl>
    <w:lvl w:ilvl="4" w:tplc="A4FCF0E8">
      <w:start w:val="1"/>
      <w:numFmt w:val="bullet"/>
      <w:lvlText w:val="o"/>
      <w:lvlJc w:val="left"/>
      <w:pPr>
        <w:tabs>
          <w:tab w:val="num" w:pos="3600"/>
        </w:tabs>
        <w:ind w:left="3600" w:hanging="360"/>
      </w:pPr>
      <w:rPr>
        <w:rFonts w:ascii="Courier New" w:hAnsi="Courier New"/>
      </w:rPr>
    </w:lvl>
    <w:lvl w:ilvl="5" w:tplc="8612F8D0">
      <w:start w:val="1"/>
      <w:numFmt w:val="bullet"/>
      <w:lvlText w:val=""/>
      <w:lvlJc w:val="left"/>
      <w:pPr>
        <w:tabs>
          <w:tab w:val="num" w:pos="4320"/>
        </w:tabs>
        <w:ind w:left="4320" w:hanging="360"/>
      </w:pPr>
      <w:rPr>
        <w:rFonts w:ascii="Wingdings" w:hAnsi="Wingdings"/>
      </w:rPr>
    </w:lvl>
    <w:lvl w:ilvl="6" w:tplc="D978817A">
      <w:start w:val="1"/>
      <w:numFmt w:val="bullet"/>
      <w:lvlText w:val=""/>
      <w:lvlJc w:val="left"/>
      <w:pPr>
        <w:tabs>
          <w:tab w:val="num" w:pos="5040"/>
        </w:tabs>
        <w:ind w:left="5040" w:hanging="360"/>
      </w:pPr>
      <w:rPr>
        <w:rFonts w:ascii="Symbol" w:hAnsi="Symbol"/>
      </w:rPr>
    </w:lvl>
    <w:lvl w:ilvl="7" w:tplc="89202DBA">
      <w:start w:val="1"/>
      <w:numFmt w:val="bullet"/>
      <w:lvlText w:val="o"/>
      <w:lvlJc w:val="left"/>
      <w:pPr>
        <w:tabs>
          <w:tab w:val="num" w:pos="5760"/>
        </w:tabs>
        <w:ind w:left="5760" w:hanging="360"/>
      </w:pPr>
      <w:rPr>
        <w:rFonts w:ascii="Courier New" w:hAnsi="Courier New"/>
      </w:rPr>
    </w:lvl>
    <w:lvl w:ilvl="8" w:tplc="7FCA048E">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63205FB0">
      <w:start w:val="1"/>
      <w:numFmt w:val="bullet"/>
      <w:lvlText w:val=""/>
      <w:lvlJc w:val="left"/>
      <w:pPr>
        <w:tabs>
          <w:tab w:val="num" w:pos="720"/>
        </w:tabs>
        <w:ind w:left="720" w:hanging="360"/>
      </w:pPr>
      <w:rPr>
        <w:rFonts w:ascii="Symbol" w:hAnsi="Symbol"/>
        <w:sz w:val="18"/>
        <w:szCs w:val="18"/>
        <w:bdr w:val="nil"/>
      </w:rPr>
    </w:lvl>
    <w:lvl w:ilvl="1" w:tplc="4788BC9E">
      <w:start w:val="1"/>
      <w:numFmt w:val="bullet"/>
      <w:lvlText w:val="o"/>
      <w:lvlJc w:val="left"/>
      <w:pPr>
        <w:tabs>
          <w:tab w:val="num" w:pos="1440"/>
        </w:tabs>
        <w:ind w:left="1440" w:hanging="360"/>
      </w:pPr>
      <w:rPr>
        <w:rFonts w:ascii="Courier New" w:hAnsi="Courier New"/>
      </w:rPr>
    </w:lvl>
    <w:lvl w:ilvl="2" w:tplc="9432C27E">
      <w:start w:val="1"/>
      <w:numFmt w:val="bullet"/>
      <w:lvlText w:val=""/>
      <w:lvlJc w:val="left"/>
      <w:pPr>
        <w:tabs>
          <w:tab w:val="num" w:pos="2160"/>
        </w:tabs>
        <w:ind w:left="2160" w:hanging="360"/>
      </w:pPr>
      <w:rPr>
        <w:rFonts w:ascii="Wingdings" w:hAnsi="Wingdings"/>
      </w:rPr>
    </w:lvl>
    <w:lvl w:ilvl="3" w:tplc="02387372">
      <w:start w:val="1"/>
      <w:numFmt w:val="bullet"/>
      <w:lvlText w:val=""/>
      <w:lvlJc w:val="left"/>
      <w:pPr>
        <w:tabs>
          <w:tab w:val="num" w:pos="2880"/>
        </w:tabs>
        <w:ind w:left="2880" w:hanging="360"/>
      </w:pPr>
      <w:rPr>
        <w:rFonts w:ascii="Symbol" w:hAnsi="Symbol"/>
      </w:rPr>
    </w:lvl>
    <w:lvl w:ilvl="4" w:tplc="4A5AB036">
      <w:start w:val="1"/>
      <w:numFmt w:val="bullet"/>
      <w:lvlText w:val="o"/>
      <w:lvlJc w:val="left"/>
      <w:pPr>
        <w:tabs>
          <w:tab w:val="num" w:pos="3600"/>
        </w:tabs>
        <w:ind w:left="3600" w:hanging="360"/>
      </w:pPr>
      <w:rPr>
        <w:rFonts w:ascii="Courier New" w:hAnsi="Courier New"/>
      </w:rPr>
    </w:lvl>
    <w:lvl w:ilvl="5" w:tplc="7584DC44">
      <w:start w:val="1"/>
      <w:numFmt w:val="bullet"/>
      <w:lvlText w:val=""/>
      <w:lvlJc w:val="left"/>
      <w:pPr>
        <w:tabs>
          <w:tab w:val="num" w:pos="4320"/>
        </w:tabs>
        <w:ind w:left="4320" w:hanging="360"/>
      </w:pPr>
      <w:rPr>
        <w:rFonts w:ascii="Wingdings" w:hAnsi="Wingdings"/>
      </w:rPr>
    </w:lvl>
    <w:lvl w:ilvl="6" w:tplc="9C40D820">
      <w:start w:val="1"/>
      <w:numFmt w:val="bullet"/>
      <w:lvlText w:val=""/>
      <w:lvlJc w:val="left"/>
      <w:pPr>
        <w:tabs>
          <w:tab w:val="num" w:pos="5040"/>
        </w:tabs>
        <w:ind w:left="5040" w:hanging="360"/>
      </w:pPr>
      <w:rPr>
        <w:rFonts w:ascii="Symbol" w:hAnsi="Symbol"/>
      </w:rPr>
    </w:lvl>
    <w:lvl w:ilvl="7" w:tplc="F83CBC7E">
      <w:start w:val="1"/>
      <w:numFmt w:val="bullet"/>
      <w:lvlText w:val="o"/>
      <w:lvlJc w:val="left"/>
      <w:pPr>
        <w:tabs>
          <w:tab w:val="num" w:pos="5760"/>
        </w:tabs>
        <w:ind w:left="5760" w:hanging="360"/>
      </w:pPr>
      <w:rPr>
        <w:rFonts w:ascii="Courier New" w:hAnsi="Courier New"/>
      </w:rPr>
    </w:lvl>
    <w:lvl w:ilvl="8" w:tplc="D040DA7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noPunctuationKerning/>
  <w:characterSpacingControl w:val="doNotCompress"/>
  <w:compat/>
  <w:rsids>
    <w:rsidRoot w:val="00205F07"/>
    <w:rsid w:val="00205F07"/>
    <w:rsid w:val="00DE62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bdr w:val="nil"/>
    </w:rPr>
  </w:style>
  <w:style w:type="paragraph" w:styleId="1">
    <w:name w:val="heading 1"/>
    <w:basedOn w:val="a"/>
    <w:next w:val="a"/>
    <w:qFormat/>
    <w:rsid w:val="00EF7B96"/>
    <w:pPr>
      <w:keepNext/>
      <w:spacing w:before="240" w:after="60"/>
      <w:outlineLvl w:val="0"/>
    </w:pPr>
    <w:rPr>
      <w:b/>
      <w:bCs/>
      <w:kern w:val="32"/>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205F07"/>
    <w:rPr>
      <w:rFonts w:ascii="Verdana" w:eastAsia="Verdana" w:hAnsi="Verdana" w:cs="Verdana"/>
      <w:sz w:val="18"/>
      <w:szCs w:val="18"/>
    </w:rPr>
  </w:style>
  <w:style w:type="paragraph" w:customStyle="1" w:styleId="Questionarie-instance">
    <w:name w:val="Questionarie-instance"/>
    <w:basedOn w:val="a"/>
    <w:rsid w:val="00205F07"/>
    <w:pPr>
      <w:pBdr>
        <w:top w:val="nil"/>
        <w:left w:val="nil"/>
        <w:bottom w:val="nil"/>
        <w:right w:val="nil"/>
      </w:pBdr>
    </w:pPr>
  </w:style>
  <w:style w:type="table" w:customStyle="1" w:styleId="Questionarie-instanceInfo-tableTable">
    <w:name w:val="Questionarie-instance_Info-table_Table"/>
    <w:rsid w:val="00205F07"/>
    <w:tblPr>
      <w:tblCellMar>
        <w:top w:w="0" w:type="dxa"/>
        <w:left w:w="0" w:type="dxa"/>
        <w:bottom w:w="0" w:type="dxa"/>
        <w:right w:w="0" w:type="dxa"/>
      </w:tblCellMar>
    </w:tblPr>
  </w:style>
  <w:style w:type="paragraph" w:customStyle="1" w:styleId="Questionarie-instanceQuestion-item">
    <w:name w:val="Questionarie-instance_Question-item"/>
    <w:basedOn w:val="a"/>
    <w:rsid w:val="00205F07"/>
    <w:pPr>
      <w:spacing w:before="150" w:after="450"/>
    </w:pPr>
  </w:style>
  <w:style w:type="character" w:customStyle="1" w:styleId="Questionarie-instanceQuestion-text">
    <w:name w:val="Questionarie-instance_Question-text"/>
    <w:basedOn w:val="a0"/>
    <w:rsid w:val="00205F07"/>
    <w:rPr>
      <w:b/>
      <w:bCs/>
      <w:bdr w:val="nil"/>
    </w:rPr>
  </w:style>
  <w:style w:type="paragraph" w:customStyle="1" w:styleId="Questionarie-instanceContent-holder">
    <w:name w:val="Questionarie-instance_Content-holder"/>
    <w:basedOn w:val="a"/>
    <w:rsid w:val="00205F07"/>
    <w:pPr>
      <w:pBdr>
        <w:top w:val="nil"/>
        <w:left w:val="nil"/>
        <w:bottom w:val="nil"/>
        <w:right w:val="nil"/>
      </w:pBdr>
    </w:pPr>
  </w:style>
  <w:style w:type="paragraph" w:customStyle="1" w:styleId="Questionarie-instanceSub-question">
    <w:name w:val="Questionarie-instance_Sub-question"/>
    <w:basedOn w:val="a"/>
    <w:rsid w:val="00205F07"/>
    <w:pPr>
      <w:pBdr>
        <w:bottom w:val="nil"/>
      </w:pBdr>
    </w:pPr>
    <w:rPr>
      <w:b/>
      <w:bCs/>
    </w:rPr>
  </w:style>
  <w:style w:type="paragraph" w:customStyle="1" w:styleId="Questionarie-instanceQuestion-itemNo-title">
    <w:name w:val="Questionarie-instance_Question-item_No-title"/>
    <w:basedOn w:val="a"/>
    <w:rsid w:val="00205F07"/>
    <w:pPr>
      <w:shd w:val="clear" w:color="auto" w:fill="FFFFFF"/>
    </w:pPr>
    <w:rPr>
      <w:shd w:val="clear" w:color="auto" w:fill="FFFFFF"/>
    </w:rPr>
  </w:style>
  <w:style w:type="paragraph" w:customStyle="1" w:styleId="Questionarie-instanceQuestion-itemNo-titleContent-holder">
    <w:name w:val="Questionarie-instance_Question-item_No-title_Content-holder"/>
    <w:basedOn w:val="a"/>
    <w:rsid w:val="00205F07"/>
    <w:pPr>
      <w:pBdr>
        <w:left w:val="nil"/>
      </w:pBd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4070</Characters>
  <Application>Microsoft Office Word</Application>
  <DocSecurity>0</DocSecurity>
  <Lines>33</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sdvsdv</dc:title>
  <cp:lastModifiedBy>vmilas</cp:lastModifiedBy>
  <cp:revision>1</cp:revision>
  <dcterms:created xsi:type="dcterms:W3CDTF">2016-06-06T10:31:00Z</dcterms:created>
  <dcterms:modified xsi:type="dcterms:W3CDTF">2016-06-06T10:31:00Z</dcterms:modified>
</cp:coreProperties>
</file>